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AFF12" w14:textId="0FF6B012" w:rsidR="004C217B" w:rsidRPr="001A21DF" w:rsidRDefault="002F489C" w:rsidP="001A21DF">
      <w:pPr>
        <w:ind w:right="440"/>
        <w:jc w:val="center"/>
        <w:rPr>
          <w:b/>
          <w:i/>
          <w:sz w:val="32"/>
          <w:szCs w:val="32"/>
        </w:rPr>
      </w:pPr>
      <w:bookmarkStart w:id="0" w:name="_GoBack"/>
      <w:r>
        <w:rPr>
          <w:b/>
          <w:i/>
          <w:sz w:val="32"/>
        </w:rPr>
        <w:t>Descripción</w:t>
      </w:r>
      <w:r w:rsidR="001A21DF">
        <w:rPr>
          <w:b/>
          <w:i/>
          <w:sz w:val="32"/>
          <w:szCs w:val="32"/>
        </w:rPr>
        <w:t xml:space="preserve"> </w:t>
      </w:r>
      <w:r>
        <w:rPr>
          <w:b/>
          <w:i/>
          <w:sz w:val="32"/>
        </w:rPr>
        <w:t>general</w:t>
      </w:r>
    </w:p>
    <w:bookmarkEnd w:id="0"/>
    <w:p w14:paraId="2508445C" w14:textId="77777777" w:rsidR="00D83BAC" w:rsidRDefault="00D83BAC" w:rsidP="006415A4">
      <w:pPr>
        <w:rPr>
          <w:sz w:val="22"/>
          <w:szCs w:val="22"/>
        </w:rPr>
      </w:pPr>
    </w:p>
    <w:p w14:paraId="493349C6" w14:textId="77777777" w:rsidR="00571EA4" w:rsidRPr="00F70E44" w:rsidRDefault="002F489C" w:rsidP="00F70E44">
      <w:pPr>
        <w:spacing w:line="228" w:lineRule="auto"/>
        <w:rPr>
          <w:sz w:val="21"/>
          <w:szCs w:val="21"/>
        </w:rPr>
      </w:pPr>
      <w:r w:rsidRPr="00F70E44">
        <w:rPr>
          <w:sz w:val="21"/>
          <w:szCs w:val="21"/>
        </w:rPr>
        <w:t xml:space="preserve">El marcador de edad y género (GAM) facilita la localización de respuestas humanitarias mediante el desarrollo de programación sobre cómo el género y la edad de una persona afectan la manera en que las emergencias impactan en la persona.  En cada sociedad, las mujeres y las niñas, los hombres y los niños tienen papeles diferentes. Esto afecta cómo pueden acceder a los recursos y utilizarlos y cómo se tratan entre sí. Estos papeles cambian con la edad.  Entender los diferentes papeles para grupos de edad diferentes de cada género profundiza el análisis de género. Otros factores como el origen étnico, las discapacidades, la situación económica, etc. también contribuyen a la evaluación para los requisitos de programación.   </w:t>
      </w:r>
    </w:p>
    <w:p w14:paraId="4FA20E4A" w14:textId="77777777" w:rsidR="007B661C" w:rsidRPr="00F70E44" w:rsidRDefault="007B661C" w:rsidP="00F70E44">
      <w:pPr>
        <w:spacing w:line="228" w:lineRule="auto"/>
        <w:rPr>
          <w:sz w:val="21"/>
          <w:szCs w:val="21"/>
        </w:rPr>
      </w:pPr>
    </w:p>
    <w:p w14:paraId="170B132A" w14:textId="77777777" w:rsidR="00C4734D" w:rsidRPr="00F70E44" w:rsidRDefault="00600FC2" w:rsidP="00F70E44">
      <w:pPr>
        <w:spacing w:line="228" w:lineRule="auto"/>
        <w:rPr>
          <w:sz w:val="21"/>
          <w:szCs w:val="21"/>
        </w:rPr>
      </w:pPr>
      <w:r w:rsidRPr="00F70E44">
        <w:rPr>
          <w:noProof/>
          <w:sz w:val="21"/>
          <w:szCs w:val="21"/>
          <w:lang w:val="fr-FR" w:eastAsia="fr-FR"/>
        </w:rPr>
        <w:drawing>
          <wp:anchor distT="0" distB="0" distL="114300" distR="114300" simplePos="0" relativeHeight="251658240" behindDoc="0" locked="0" layoutInCell="1" allowOverlap="1" wp14:anchorId="213E05AD" wp14:editId="636C7E36">
            <wp:simplePos x="0" y="0"/>
            <wp:positionH relativeFrom="column">
              <wp:posOffset>1995805</wp:posOffset>
            </wp:positionH>
            <wp:positionV relativeFrom="paragraph">
              <wp:posOffset>66675</wp:posOffset>
            </wp:positionV>
            <wp:extent cx="4824730" cy="2832100"/>
            <wp:effectExtent l="0" t="0" r="0" b="6350"/>
            <wp:wrapTight wrapText="bothSides">
              <wp:wrapPolygon edited="0">
                <wp:start x="0" y="0"/>
                <wp:lineTo x="0" y="21503"/>
                <wp:lineTo x="21492" y="21503"/>
                <wp:lineTo x="21492" y="0"/>
                <wp:lineTo x="0" y="0"/>
              </wp:wrapPolygon>
            </wp:wrapTight>
            <wp:docPr id="1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4730"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89C" w:rsidRPr="00F70E44">
        <w:rPr>
          <w:i/>
          <w:sz w:val="21"/>
          <w:szCs w:val="21"/>
        </w:rPr>
        <w:t>Medidas de igualdad de género:</w:t>
      </w:r>
      <w:r w:rsidR="002F489C" w:rsidRPr="00F70E44">
        <w:rPr>
          <w:sz w:val="21"/>
          <w:szCs w:val="21"/>
        </w:rPr>
        <w:t xml:space="preserve"> El GAM analiza medidas de igualdad de género (GEM). Ayuda al personal de programación a refinar la acción humanitaria en las fases de Diseño (DP) y Supervisión (MP).  En la de Diseño, el GAM evalúa las pruebas de que el género en todos los grupos de edad está integrado en la programación (propuestas) mediante el uso de las siguientes GEM clave: Análisis de género (A), Actividades adaptadas (D), Influencia en decisiones (G) y Beneficios (J).  Durante la fase de Supervisión (durante o al final del proyecto), se miden 12 GEM (4 clave y 8 complementarias) para obtener pruebas que pongan de relieve qué funciona bien y qué se puede mejorar (acción reflexiva)</w:t>
      </w:r>
      <w:r w:rsidR="002F489C" w:rsidRPr="00F70E44">
        <w:rPr>
          <w:rStyle w:val="FootnoteReference"/>
          <w:sz w:val="21"/>
          <w:szCs w:val="21"/>
        </w:rPr>
        <w:footnoteReference w:id="1"/>
      </w:r>
      <w:r w:rsidR="002F489C" w:rsidRPr="00F70E44">
        <w:rPr>
          <w:sz w:val="21"/>
          <w:szCs w:val="21"/>
        </w:rPr>
        <w:t xml:space="preserve">.  </w:t>
      </w:r>
    </w:p>
    <w:p w14:paraId="1EEAE36A" w14:textId="77777777" w:rsidR="00876BE8" w:rsidRPr="00F70E44" w:rsidRDefault="00876BE8" w:rsidP="00F70E44">
      <w:pPr>
        <w:spacing w:line="228" w:lineRule="auto"/>
        <w:rPr>
          <w:sz w:val="21"/>
          <w:szCs w:val="21"/>
        </w:rPr>
      </w:pPr>
    </w:p>
    <w:p w14:paraId="342312FB" w14:textId="77777777" w:rsidR="00F15E8C" w:rsidRPr="00F70E44" w:rsidRDefault="002F489C" w:rsidP="00F70E44">
      <w:pPr>
        <w:spacing w:line="228" w:lineRule="auto"/>
        <w:rPr>
          <w:sz w:val="21"/>
          <w:szCs w:val="21"/>
        </w:rPr>
      </w:pPr>
      <w:r w:rsidRPr="00F70E44">
        <w:rPr>
          <w:i/>
          <w:sz w:val="21"/>
          <w:szCs w:val="21"/>
        </w:rPr>
        <w:t>El GAM</w:t>
      </w:r>
      <w:r w:rsidRPr="00F70E44">
        <w:rPr>
          <w:sz w:val="21"/>
          <w:szCs w:val="21"/>
        </w:rPr>
        <w:t xml:space="preserve"> ayuda al personal de programación y a la gestión a realizar un seguimiento de si el proyecto satisface las necesidades de todos de manera equitativa (Incorporación de la perspectiva de género o «M»)</w:t>
      </w:r>
      <w:r w:rsidRPr="00F70E44">
        <w:rPr>
          <w:rStyle w:val="FootnoteReference"/>
          <w:sz w:val="21"/>
          <w:szCs w:val="21"/>
        </w:rPr>
        <w:footnoteReference w:id="2"/>
      </w:r>
      <w:r w:rsidRPr="00F70E44">
        <w:rPr>
          <w:sz w:val="21"/>
          <w:szCs w:val="21"/>
        </w:rPr>
        <w:t>, se enfoca principalmente en abordar barreras y/o discriminación de género (Acción específica o «T»)</w:t>
      </w:r>
      <w:r w:rsidRPr="00F70E44">
        <w:rPr>
          <w:rStyle w:val="FootnoteReference"/>
          <w:sz w:val="21"/>
          <w:szCs w:val="21"/>
        </w:rPr>
        <w:footnoteReference w:id="3"/>
      </w:r>
      <w:r w:rsidRPr="00F70E44">
        <w:rPr>
          <w:sz w:val="21"/>
          <w:szCs w:val="21"/>
        </w:rPr>
        <w:t xml:space="preserve"> o no tiene influencia directa en las personas (No corresponde o «N/C»).  El GAM también se aplica a documentos sectoriales/grupales, como por ejemplo: la Descripción general de Necesidades humanitarias, el Plan de respuesta humanitaria y los informes de Revisión de supervisión periódica, con el fin de demostrar intención humanitaria en cascada para identificar y abordar desigualdades de género y relevancia de programación.</w:t>
      </w:r>
    </w:p>
    <w:p w14:paraId="409BE6DF" w14:textId="77777777" w:rsidR="00F20564" w:rsidRDefault="00F20564" w:rsidP="00F70E44">
      <w:pPr>
        <w:spacing w:line="228" w:lineRule="auto"/>
        <w:rPr>
          <w:i/>
          <w:iCs/>
          <w:sz w:val="22"/>
          <w:szCs w:val="22"/>
        </w:rPr>
      </w:pPr>
    </w:p>
    <w:p w14:paraId="37F4E1FD" w14:textId="77777777" w:rsidR="00413A46" w:rsidRPr="00F70E44" w:rsidRDefault="00600FC2" w:rsidP="00B767C8">
      <w:pPr>
        <w:rPr>
          <w:spacing w:val="-2"/>
          <w:sz w:val="21"/>
          <w:szCs w:val="21"/>
        </w:rPr>
      </w:pPr>
      <w:r w:rsidRPr="00F70E44">
        <w:rPr>
          <w:noProof/>
          <w:spacing w:val="-2"/>
          <w:sz w:val="21"/>
          <w:szCs w:val="21"/>
          <w:lang w:val="fr-FR" w:eastAsia="fr-FR"/>
        </w:rPr>
        <w:drawing>
          <wp:anchor distT="0" distB="0" distL="114300" distR="114300" simplePos="0" relativeHeight="251659264" behindDoc="0" locked="0" layoutInCell="1" allowOverlap="1" wp14:anchorId="5432B894" wp14:editId="38DFF33D">
            <wp:simplePos x="0" y="0"/>
            <wp:positionH relativeFrom="column">
              <wp:posOffset>0</wp:posOffset>
            </wp:positionH>
            <wp:positionV relativeFrom="paragraph">
              <wp:posOffset>128905</wp:posOffset>
            </wp:positionV>
            <wp:extent cx="3103245" cy="1856105"/>
            <wp:effectExtent l="0" t="0" r="1905" b="0"/>
            <wp:wrapTight wrapText="bothSides">
              <wp:wrapPolygon edited="0">
                <wp:start x="0" y="0"/>
                <wp:lineTo x="0" y="21282"/>
                <wp:lineTo x="21481" y="21282"/>
                <wp:lineTo x="21481" y="0"/>
                <wp:lineTo x="0" y="0"/>
              </wp:wrapPolygon>
            </wp:wrapTight>
            <wp:docPr id="1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89C" w:rsidRPr="00F70E44">
        <w:rPr>
          <w:i/>
          <w:spacing w:val="-2"/>
          <w:sz w:val="21"/>
          <w:szCs w:val="21"/>
        </w:rPr>
        <w:t>Codificación automática</w:t>
      </w:r>
      <w:r w:rsidR="002F489C" w:rsidRPr="00F70E44">
        <w:rPr>
          <w:spacing w:val="-2"/>
          <w:sz w:val="21"/>
          <w:szCs w:val="21"/>
        </w:rPr>
        <w:t xml:space="preserve">: Hay dos tipos de códigos: los códigos </w:t>
      </w:r>
      <w:r w:rsidR="002F489C" w:rsidRPr="00F70E44">
        <w:rPr>
          <w:b/>
          <w:spacing w:val="-2"/>
          <w:sz w:val="21"/>
          <w:szCs w:val="21"/>
        </w:rPr>
        <w:t>GEM</w:t>
      </w:r>
      <w:r w:rsidR="002F489C" w:rsidRPr="00F70E44">
        <w:rPr>
          <w:spacing w:val="-2"/>
          <w:sz w:val="21"/>
          <w:szCs w:val="21"/>
        </w:rPr>
        <w:t xml:space="preserve"> individuales y el código </w:t>
      </w:r>
      <w:r w:rsidR="002F489C" w:rsidRPr="00F70E44">
        <w:rPr>
          <w:b/>
          <w:spacing w:val="-2"/>
          <w:sz w:val="21"/>
          <w:szCs w:val="21"/>
        </w:rPr>
        <w:t>GAM</w:t>
      </w:r>
      <w:r w:rsidR="002F489C" w:rsidRPr="00F70E44">
        <w:rPr>
          <w:spacing w:val="-2"/>
          <w:sz w:val="21"/>
          <w:szCs w:val="21"/>
        </w:rPr>
        <w:t xml:space="preserve"> general de un proyecto. Cada código </w:t>
      </w:r>
      <w:r w:rsidR="002F489C" w:rsidRPr="00F70E44">
        <w:rPr>
          <w:b/>
          <w:spacing w:val="-2"/>
          <w:sz w:val="21"/>
          <w:szCs w:val="21"/>
        </w:rPr>
        <w:t>GEM</w:t>
      </w:r>
      <w:r w:rsidR="002F489C" w:rsidRPr="00F70E44">
        <w:rPr>
          <w:spacing w:val="-2"/>
          <w:sz w:val="21"/>
          <w:szCs w:val="21"/>
        </w:rPr>
        <w:t xml:space="preserve"> se calcula a partir de pruebas de acción de programación, género y edad. Si los tres están presentes, la GEM codifica 4 de manera automática; si ninguno está incluido, codifica 0. El código </w:t>
      </w:r>
      <w:r w:rsidR="002F489C" w:rsidRPr="00F70E44">
        <w:rPr>
          <w:b/>
          <w:spacing w:val="-2"/>
          <w:sz w:val="21"/>
          <w:szCs w:val="21"/>
        </w:rPr>
        <w:t>GAM</w:t>
      </w:r>
      <w:r w:rsidR="002F489C" w:rsidRPr="00F70E44">
        <w:rPr>
          <w:spacing w:val="-2"/>
          <w:sz w:val="21"/>
          <w:szCs w:val="21"/>
        </w:rPr>
        <w:t xml:space="preserve"> general del proyecto refleja el tipo más común de programación basado en las GEM y la fuerza de programación </w:t>
      </w:r>
      <w:r w:rsidR="002F489C" w:rsidRPr="00F70E44">
        <w:rPr>
          <w:i/>
          <w:spacing w:val="-2"/>
          <w:sz w:val="21"/>
          <w:szCs w:val="21"/>
        </w:rPr>
        <w:t>(véase el Marco de codificación de GAM)</w:t>
      </w:r>
      <w:r w:rsidR="002F489C" w:rsidRPr="00F70E44">
        <w:rPr>
          <w:spacing w:val="-2"/>
          <w:sz w:val="21"/>
          <w:szCs w:val="21"/>
        </w:rPr>
        <w:t xml:space="preserve">.  Cuando hay 3 o 4 GEM con el mismo código, el código GAM es automáticamente igual al código GEM común.  Si dos o más GEM son 0, el GAM es 0.  Una buena programación de igualdad de género está basada en una buena programación: si 2 o más GEM no están presentes, faltan acciones críticas. De otra manera, si los códigos GEM son mixtos, el GAM es 1. El código GAM supervisa la relevancia de la acción de programación en base al género y la edad, con el enfoque principal en el género. </w:t>
      </w:r>
    </w:p>
    <w:p w14:paraId="488E6CBE" w14:textId="77777777" w:rsidR="00FE6F43" w:rsidRPr="00F70E44" w:rsidRDefault="00FE6F43" w:rsidP="00F70E44">
      <w:pPr>
        <w:spacing w:line="228" w:lineRule="auto"/>
        <w:rPr>
          <w:i/>
          <w:iCs/>
          <w:sz w:val="21"/>
          <w:szCs w:val="21"/>
        </w:rPr>
      </w:pPr>
    </w:p>
    <w:p w14:paraId="1AEE99F4" w14:textId="77777777" w:rsidR="00E72745" w:rsidRPr="00F70E44" w:rsidRDefault="00600FC2" w:rsidP="00F70E44">
      <w:pPr>
        <w:spacing w:line="228" w:lineRule="auto"/>
        <w:rPr>
          <w:sz w:val="21"/>
          <w:szCs w:val="21"/>
        </w:rPr>
      </w:pPr>
      <w:r w:rsidRPr="00F70E44">
        <w:rPr>
          <w:noProof/>
          <w:sz w:val="21"/>
          <w:szCs w:val="21"/>
          <w:lang w:val="fr-FR" w:eastAsia="fr-FR"/>
        </w:rPr>
        <w:lastRenderedPageBreak/>
        <w:drawing>
          <wp:anchor distT="0" distB="0" distL="114300" distR="114300" simplePos="0" relativeHeight="251661312" behindDoc="0" locked="0" layoutInCell="1" allowOverlap="1" wp14:anchorId="02832D1A" wp14:editId="7D65EBEC">
            <wp:simplePos x="0" y="0"/>
            <wp:positionH relativeFrom="column">
              <wp:posOffset>4065905</wp:posOffset>
            </wp:positionH>
            <wp:positionV relativeFrom="paragraph">
              <wp:posOffset>782320</wp:posOffset>
            </wp:positionV>
            <wp:extent cx="2378710" cy="1724025"/>
            <wp:effectExtent l="0" t="0" r="2540" b="9525"/>
            <wp:wrapTight wrapText="bothSides">
              <wp:wrapPolygon edited="0">
                <wp:start x="0" y="0"/>
                <wp:lineTo x="0" y="21481"/>
                <wp:lineTo x="21450" y="21481"/>
                <wp:lineTo x="21450" y="0"/>
                <wp:lineTo x="0" y="0"/>
              </wp:wrapPolygon>
            </wp:wrapTight>
            <wp:docPr id="1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871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89C" w:rsidRPr="00F70E44">
        <w:rPr>
          <w:i/>
          <w:sz w:val="21"/>
          <w:szCs w:val="21"/>
        </w:rPr>
        <w:t xml:space="preserve">Módulos: </w:t>
      </w:r>
      <w:r w:rsidR="002F489C" w:rsidRPr="00F70E44">
        <w:rPr>
          <w:sz w:val="21"/>
          <w:szCs w:val="21"/>
        </w:rPr>
        <w:t>El GAM registra si se han establecido módulos básicos de programación, los que incluyen cómo el proyecto se relaciona con las personas afectadas, entiende sus necesidades, papeles y dinámica</w:t>
      </w:r>
      <w:r w:rsidR="006F2A3F">
        <w:rPr>
          <w:sz w:val="21"/>
          <w:szCs w:val="21"/>
        </w:rPr>
        <w:t>s</w:t>
      </w:r>
      <w:r w:rsidR="002F489C" w:rsidRPr="00F70E44">
        <w:rPr>
          <w:sz w:val="21"/>
          <w:szCs w:val="21"/>
        </w:rPr>
        <w:t>, si las actividades son adaptadas en consecuencia, el grado en el que las personas afectadas influencian las decisiones y los beneficios del proyecto.  La ausencia de una o más de las acciones de programación sugiere que la programación se puede fortalecer.  A nivel de grupo/sector, la codificación brind</w:t>
      </w:r>
      <w:r w:rsidR="006F2A3F">
        <w:rPr>
          <w:sz w:val="21"/>
          <w:szCs w:val="21"/>
        </w:rPr>
        <w:t xml:space="preserve">a una descripción general a los/as </w:t>
      </w:r>
      <w:r w:rsidR="002F489C" w:rsidRPr="00F70E44">
        <w:rPr>
          <w:sz w:val="21"/>
          <w:szCs w:val="21"/>
        </w:rPr>
        <w:t>coordinadores</w:t>
      </w:r>
      <w:r w:rsidR="006F2A3F">
        <w:rPr>
          <w:sz w:val="21"/>
          <w:szCs w:val="21"/>
        </w:rPr>
        <w:t>/as</w:t>
      </w:r>
      <w:r w:rsidR="002F489C" w:rsidRPr="00F70E44">
        <w:rPr>
          <w:sz w:val="21"/>
          <w:szCs w:val="21"/>
        </w:rPr>
        <w:t xml:space="preserve"> de dónde se encuentran las fortalezas y las debilidades de la programación.</w:t>
      </w:r>
    </w:p>
    <w:p w14:paraId="4E94F2D1" w14:textId="77777777" w:rsidR="00333CEF" w:rsidRPr="00F70E44" w:rsidRDefault="00333CEF" w:rsidP="00F70E44">
      <w:pPr>
        <w:spacing w:line="228" w:lineRule="auto"/>
        <w:rPr>
          <w:b/>
          <w:sz w:val="21"/>
          <w:szCs w:val="21"/>
        </w:rPr>
      </w:pPr>
    </w:p>
    <w:p w14:paraId="43341936" w14:textId="77777777" w:rsidR="001C6AB6" w:rsidRPr="00F70E44" w:rsidRDefault="002F489C" w:rsidP="00F70E44">
      <w:pPr>
        <w:spacing w:line="228" w:lineRule="auto"/>
        <w:rPr>
          <w:sz w:val="21"/>
          <w:szCs w:val="21"/>
        </w:rPr>
      </w:pPr>
      <w:r w:rsidRPr="00F70E44">
        <w:rPr>
          <w:sz w:val="21"/>
          <w:szCs w:val="21"/>
        </w:rPr>
        <w:t xml:space="preserve">Una buena programación requiere que las personas afectadas participen en todas las áreas del proyecto y que las acciones de programación abarquen desde el análisis de las necesidades según el género hasta cómo se personalizan las actividades, y los beneficios con la intervención.  Si cada GEM recibe el mismo código, significa que se consideran los mismos factores en cada una de las acciones básicas de programación. Si hay GEM clave ausentes o el código difiere, la </w:t>
      </w:r>
      <w:r w:rsidRPr="00F70E44">
        <w:rPr>
          <w:i/>
          <w:sz w:val="21"/>
          <w:szCs w:val="21"/>
        </w:rPr>
        <w:t>relevancia</w:t>
      </w:r>
      <w:r w:rsidRPr="00F70E44">
        <w:rPr>
          <w:sz w:val="21"/>
          <w:szCs w:val="21"/>
        </w:rPr>
        <w:t xml:space="preserve"> de la programación se ve comprometida.  </w:t>
      </w:r>
    </w:p>
    <w:p w14:paraId="40B80BED" w14:textId="77777777" w:rsidR="001C6AB6" w:rsidRPr="00F70E44" w:rsidRDefault="001C6AB6" w:rsidP="00F70E44">
      <w:pPr>
        <w:spacing w:line="228" w:lineRule="auto"/>
        <w:rPr>
          <w:sz w:val="21"/>
          <w:szCs w:val="21"/>
        </w:rPr>
      </w:pPr>
    </w:p>
    <w:p w14:paraId="6FAE5EBB" w14:textId="77777777" w:rsidR="007C5DD8" w:rsidRPr="00F70E44" w:rsidRDefault="002F489C" w:rsidP="00F70E44">
      <w:pPr>
        <w:spacing w:line="228" w:lineRule="auto"/>
        <w:rPr>
          <w:i/>
          <w:iCs/>
          <w:sz w:val="21"/>
          <w:szCs w:val="21"/>
        </w:rPr>
      </w:pPr>
      <w:r w:rsidRPr="00F70E44">
        <w:rPr>
          <w:i/>
          <w:sz w:val="21"/>
          <w:szCs w:val="21"/>
        </w:rPr>
        <w:t>Impacto en mujeres, niñas, niños y hombres en grupos de edad diferentes:</w:t>
      </w:r>
      <w:r w:rsidRPr="00F70E44">
        <w:rPr>
          <w:sz w:val="21"/>
          <w:szCs w:val="21"/>
        </w:rPr>
        <w:t xml:space="preserve"> El GAM recopila información sobre los beneficios relativos </w:t>
      </w:r>
      <w:r w:rsidRPr="00F70E44">
        <w:rPr>
          <w:i/>
          <w:sz w:val="21"/>
          <w:szCs w:val="21"/>
        </w:rPr>
        <w:t>(GEM J)</w:t>
      </w:r>
      <w:r w:rsidRPr="00F70E44">
        <w:rPr>
          <w:sz w:val="21"/>
          <w:szCs w:val="21"/>
        </w:rPr>
        <w:t xml:space="preserve"> y las tasas comparativas de satisfacción entre grupos de edad y género </w:t>
      </w:r>
      <w:r w:rsidRPr="00F70E44">
        <w:rPr>
          <w:i/>
          <w:sz w:val="21"/>
          <w:szCs w:val="21"/>
        </w:rPr>
        <w:t>(GEM K)</w:t>
      </w:r>
      <w:r w:rsidRPr="00F70E44">
        <w:rPr>
          <w:sz w:val="21"/>
          <w:szCs w:val="21"/>
        </w:rPr>
        <w:t xml:space="preserve">, junto con cualquier consecuencia o barrera imprevista experimentada por las personas afectadas </w:t>
      </w:r>
      <w:r w:rsidRPr="00F70E44">
        <w:rPr>
          <w:i/>
          <w:sz w:val="21"/>
          <w:szCs w:val="21"/>
        </w:rPr>
        <w:t>[GEM L].</w:t>
      </w:r>
    </w:p>
    <w:p w14:paraId="0F7531C2" w14:textId="77777777" w:rsidR="00A333DF" w:rsidRPr="00F70E44" w:rsidRDefault="00A333DF" w:rsidP="00F70E44">
      <w:pPr>
        <w:spacing w:line="228" w:lineRule="auto"/>
        <w:rPr>
          <w:i/>
          <w:sz w:val="21"/>
          <w:szCs w:val="21"/>
        </w:rPr>
      </w:pPr>
    </w:p>
    <w:p w14:paraId="1E02A2D7" w14:textId="77777777" w:rsidR="007C5DD8" w:rsidRPr="00F70E44" w:rsidRDefault="002F489C" w:rsidP="00F70E44">
      <w:pPr>
        <w:spacing w:line="228" w:lineRule="auto"/>
        <w:rPr>
          <w:sz w:val="21"/>
          <w:szCs w:val="21"/>
        </w:rPr>
      </w:pPr>
      <w:r w:rsidRPr="00F70E44">
        <w:rPr>
          <w:i/>
          <w:sz w:val="21"/>
          <w:szCs w:val="21"/>
        </w:rPr>
        <w:t xml:space="preserve">Protección: </w:t>
      </w:r>
      <w:r w:rsidRPr="00F70E44">
        <w:rPr>
          <w:sz w:val="21"/>
          <w:szCs w:val="21"/>
        </w:rPr>
        <w:t xml:space="preserve"> El GAM registra: si se establece contacto con los grupos destinatarios identificados </w:t>
      </w:r>
      <w:r w:rsidRPr="00F70E44">
        <w:rPr>
          <w:i/>
          <w:sz w:val="21"/>
          <w:szCs w:val="21"/>
        </w:rPr>
        <w:t>[GEM C]</w:t>
      </w:r>
      <w:r w:rsidRPr="00F70E44">
        <w:rPr>
          <w:sz w:val="21"/>
          <w:szCs w:val="21"/>
        </w:rPr>
        <w:t xml:space="preserve">; si se reducen los riesgos de violencia de género o se brinda apoyo </w:t>
      </w:r>
      <w:r w:rsidRPr="00F70E44">
        <w:rPr>
          <w:i/>
          <w:sz w:val="21"/>
          <w:szCs w:val="21"/>
        </w:rPr>
        <w:t>[GEM E]</w:t>
      </w:r>
      <w:r w:rsidRPr="00F70E44">
        <w:rPr>
          <w:sz w:val="21"/>
          <w:szCs w:val="21"/>
        </w:rPr>
        <w:t>; si existe un mecanismo para responder a las quejas (</w:t>
      </w:r>
      <w:r w:rsidRPr="00F70E44">
        <w:rPr>
          <w:i/>
          <w:sz w:val="21"/>
          <w:szCs w:val="21"/>
        </w:rPr>
        <w:t>GEM H</w:t>
      </w:r>
      <w:r w:rsidRPr="00F70E44">
        <w:rPr>
          <w:sz w:val="21"/>
          <w:szCs w:val="21"/>
        </w:rPr>
        <w:t xml:space="preserve">); si las diferentes personas afectadas se benefician de las actividades adaptadas </w:t>
      </w:r>
      <w:r w:rsidRPr="00F70E44">
        <w:rPr>
          <w:i/>
          <w:sz w:val="21"/>
          <w:szCs w:val="21"/>
        </w:rPr>
        <w:t>[GEM J];</w:t>
      </w:r>
      <w:r w:rsidRPr="00F70E44">
        <w:rPr>
          <w:sz w:val="21"/>
          <w:szCs w:val="21"/>
        </w:rPr>
        <w:t xml:space="preserve"> si los grupos de personas afectadas están satisfechos con la acción </w:t>
      </w:r>
      <w:r w:rsidRPr="00F70E44">
        <w:rPr>
          <w:i/>
          <w:sz w:val="21"/>
          <w:szCs w:val="21"/>
        </w:rPr>
        <w:t>[GEM K];</w:t>
      </w:r>
      <w:r w:rsidRPr="00F70E44">
        <w:rPr>
          <w:sz w:val="21"/>
          <w:szCs w:val="21"/>
        </w:rPr>
        <w:t xml:space="preserve"> y si se toman medidas para mitigar cualquier daño o barrera potencial </w:t>
      </w:r>
      <w:r w:rsidRPr="00F70E44">
        <w:rPr>
          <w:i/>
          <w:sz w:val="21"/>
          <w:szCs w:val="21"/>
        </w:rPr>
        <w:t xml:space="preserve">(GEM L). </w:t>
      </w:r>
    </w:p>
    <w:p w14:paraId="662DD0E5" w14:textId="77777777" w:rsidR="00007A75" w:rsidRPr="00F70E44" w:rsidRDefault="00007A75" w:rsidP="00F70E44">
      <w:pPr>
        <w:spacing w:line="228" w:lineRule="auto"/>
        <w:rPr>
          <w:b/>
          <w:sz w:val="21"/>
          <w:szCs w:val="21"/>
        </w:rPr>
      </w:pPr>
    </w:p>
    <w:p w14:paraId="06B3C347" w14:textId="77777777" w:rsidR="0098790B" w:rsidRPr="00F70E44" w:rsidRDefault="002F489C" w:rsidP="00F70E44">
      <w:pPr>
        <w:spacing w:line="228" w:lineRule="auto"/>
        <w:rPr>
          <w:sz w:val="21"/>
          <w:szCs w:val="21"/>
        </w:rPr>
      </w:pPr>
      <w:r w:rsidRPr="00F70E44">
        <w:rPr>
          <w:i/>
          <w:sz w:val="21"/>
          <w:szCs w:val="21"/>
        </w:rPr>
        <w:t>Rendición de cuentas y participación:</w:t>
      </w:r>
      <w:r w:rsidRPr="00F70E44">
        <w:rPr>
          <w:b/>
          <w:sz w:val="21"/>
          <w:szCs w:val="21"/>
        </w:rPr>
        <w:t xml:space="preserve"> </w:t>
      </w:r>
      <w:r w:rsidRPr="00F70E44">
        <w:rPr>
          <w:sz w:val="21"/>
          <w:szCs w:val="21"/>
        </w:rPr>
        <w:t>El GAM registra: si las medidas para asegurar a mujeres y hombres (y niños y niñas) afectan las decisiones del proyecto, incluida la influencia en el proyecto (</w:t>
      </w:r>
      <w:r w:rsidRPr="00F70E44">
        <w:rPr>
          <w:i/>
          <w:sz w:val="21"/>
          <w:szCs w:val="21"/>
        </w:rPr>
        <w:t>GEM G)</w:t>
      </w:r>
      <w:r w:rsidRPr="00F70E44">
        <w:rPr>
          <w:sz w:val="21"/>
          <w:szCs w:val="21"/>
        </w:rPr>
        <w:t>; si hay mecanismos para registrar y responder sugerencias/quejas (</w:t>
      </w:r>
      <w:r w:rsidRPr="00F70E44">
        <w:rPr>
          <w:i/>
          <w:sz w:val="21"/>
          <w:szCs w:val="21"/>
        </w:rPr>
        <w:t>GEM H</w:t>
      </w:r>
      <w:r w:rsidRPr="00F70E44">
        <w:rPr>
          <w:sz w:val="21"/>
          <w:szCs w:val="21"/>
        </w:rPr>
        <w:t xml:space="preserve">); y si la información es transparente en el proyecto y el organismo </w:t>
      </w:r>
      <w:r w:rsidRPr="00F70E44">
        <w:rPr>
          <w:i/>
          <w:sz w:val="21"/>
          <w:szCs w:val="21"/>
        </w:rPr>
        <w:t>(GEM I).</w:t>
      </w:r>
      <w:r w:rsidRPr="00F70E44">
        <w:rPr>
          <w:sz w:val="21"/>
          <w:szCs w:val="21"/>
        </w:rPr>
        <w:t xml:space="preserve"> </w:t>
      </w:r>
    </w:p>
    <w:p w14:paraId="3957255A" w14:textId="77777777" w:rsidR="00007A75" w:rsidRPr="00F70E44" w:rsidRDefault="00007A75" w:rsidP="00F70E44">
      <w:pPr>
        <w:spacing w:line="228" w:lineRule="auto"/>
        <w:rPr>
          <w:sz w:val="21"/>
          <w:szCs w:val="21"/>
        </w:rPr>
      </w:pPr>
    </w:p>
    <w:p w14:paraId="5F40CE20" w14:textId="77777777" w:rsidR="004152F3" w:rsidRPr="00F70E44" w:rsidRDefault="002F489C" w:rsidP="00F70E44">
      <w:pPr>
        <w:spacing w:line="228" w:lineRule="auto"/>
        <w:rPr>
          <w:bCs/>
          <w:i/>
          <w:iCs/>
          <w:sz w:val="21"/>
          <w:szCs w:val="21"/>
        </w:rPr>
      </w:pPr>
      <w:r w:rsidRPr="00F70E44">
        <w:rPr>
          <w:i/>
          <w:sz w:val="21"/>
          <w:szCs w:val="21"/>
        </w:rPr>
        <w:t>Aplicación del GAM</w:t>
      </w:r>
    </w:p>
    <w:p w14:paraId="5430990F" w14:textId="77777777" w:rsidR="002E3CA2" w:rsidRPr="00F70E44" w:rsidRDefault="002F489C" w:rsidP="00F70E44">
      <w:pPr>
        <w:numPr>
          <w:ilvl w:val="0"/>
          <w:numId w:val="5"/>
        </w:numPr>
        <w:tabs>
          <w:tab w:val="clear" w:pos="720"/>
          <w:tab w:val="num" w:pos="284"/>
        </w:tabs>
        <w:spacing w:line="228" w:lineRule="auto"/>
        <w:ind w:left="284" w:hanging="284"/>
        <w:rPr>
          <w:sz w:val="21"/>
          <w:szCs w:val="21"/>
        </w:rPr>
      </w:pPr>
      <w:r w:rsidRPr="00F70E44">
        <w:rPr>
          <w:b/>
          <w:sz w:val="21"/>
          <w:szCs w:val="21"/>
        </w:rPr>
        <w:t>Abrir el GAM en Excel:</w:t>
      </w:r>
      <w:r w:rsidRPr="00F70E44">
        <w:rPr>
          <w:sz w:val="21"/>
          <w:szCs w:val="21"/>
        </w:rPr>
        <w:t xml:space="preserve"> aceptar las macros y seleccionar la versión completa o la simplificada (la versión simplificada está diseñada para proyectos pequeños aprobados por su sector.  No admite acción reflexiva).</w:t>
      </w:r>
    </w:p>
    <w:p w14:paraId="676CC2D1" w14:textId="77777777" w:rsidR="002E3CA2" w:rsidRPr="00F70E44" w:rsidRDefault="002F489C" w:rsidP="00F70E44">
      <w:pPr>
        <w:numPr>
          <w:ilvl w:val="0"/>
          <w:numId w:val="5"/>
        </w:numPr>
        <w:tabs>
          <w:tab w:val="clear" w:pos="720"/>
          <w:tab w:val="num" w:pos="284"/>
        </w:tabs>
        <w:spacing w:line="228" w:lineRule="auto"/>
        <w:ind w:left="284" w:hanging="284"/>
        <w:rPr>
          <w:sz w:val="21"/>
          <w:szCs w:val="21"/>
        </w:rPr>
      </w:pPr>
      <w:r w:rsidRPr="00F70E44">
        <w:rPr>
          <w:sz w:val="21"/>
          <w:szCs w:val="21"/>
        </w:rPr>
        <w:t xml:space="preserve">La página siguiente busca </w:t>
      </w:r>
      <w:r w:rsidRPr="00F70E44">
        <w:rPr>
          <w:b/>
          <w:sz w:val="21"/>
          <w:szCs w:val="21"/>
        </w:rPr>
        <w:t>Información básica</w:t>
      </w:r>
      <w:r w:rsidRPr="00F70E44">
        <w:rPr>
          <w:sz w:val="21"/>
          <w:szCs w:val="21"/>
        </w:rPr>
        <w:t xml:space="preserve"> en el proyecto y proporciona </w:t>
      </w:r>
      <w:r w:rsidRPr="00F70E44">
        <w:rPr>
          <w:b/>
          <w:sz w:val="21"/>
          <w:szCs w:val="21"/>
        </w:rPr>
        <w:t>enlaces</w:t>
      </w:r>
      <w:r w:rsidRPr="00F70E44">
        <w:rPr>
          <w:sz w:val="21"/>
          <w:szCs w:val="21"/>
        </w:rPr>
        <w:t xml:space="preserve"> a las </w:t>
      </w:r>
      <w:r w:rsidRPr="00F70E44">
        <w:rPr>
          <w:b/>
          <w:sz w:val="21"/>
          <w:szCs w:val="21"/>
        </w:rPr>
        <w:t>fases de Diseño y Supervisión.</w:t>
      </w:r>
      <w:r w:rsidRPr="00F70E44">
        <w:rPr>
          <w:sz w:val="21"/>
          <w:szCs w:val="21"/>
        </w:rPr>
        <w:t xml:space="preserve"> </w:t>
      </w:r>
    </w:p>
    <w:p w14:paraId="527ABB1E" w14:textId="77777777" w:rsidR="002E3CA2" w:rsidRPr="00F70E44" w:rsidRDefault="002F489C" w:rsidP="00F70E44">
      <w:pPr>
        <w:numPr>
          <w:ilvl w:val="0"/>
          <w:numId w:val="5"/>
        </w:numPr>
        <w:tabs>
          <w:tab w:val="clear" w:pos="720"/>
          <w:tab w:val="num" w:pos="284"/>
        </w:tabs>
        <w:spacing w:line="228" w:lineRule="auto"/>
        <w:ind w:left="284" w:hanging="284"/>
        <w:rPr>
          <w:sz w:val="21"/>
          <w:szCs w:val="21"/>
        </w:rPr>
      </w:pPr>
      <w:r w:rsidRPr="00F70E44">
        <w:rPr>
          <w:sz w:val="21"/>
          <w:szCs w:val="21"/>
        </w:rPr>
        <w:t xml:space="preserve">Seleccionar la fase apropiada: </w:t>
      </w:r>
      <w:r w:rsidRPr="00F70E44">
        <w:rPr>
          <w:b/>
          <w:sz w:val="21"/>
          <w:szCs w:val="21"/>
        </w:rPr>
        <w:t>Diseño, Supervisión (durante)</w:t>
      </w:r>
      <w:r w:rsidRPr="00F70E44">
        <w:rPr>
          <w:sz w:val="21"/>
          <w:szCs w:val="21"/>
        </w:rPr>
        <w:t xml:space="preserve"> o </w:t>
      </w:r>
      <w:r w:rsidRPr="00F70E44">
        <w:rPr>
          <w:b/>
          <w:sz w:val="21"/>
          <w:szCs w:val="21"/>
        </w:rPr>
        <w:t>Supervisión (después)</w:t>
      </w:r>
      <w:r w:rsidRPr="00F70E44">
        <w:rPr>
          <w:sz w:val="21"/>
          <w:szCs w:val="21"/>
        </w:rPr>
        <w:t xml:space="preserve">.  </w:t>
      </w:r>
    </w:p>
    <w:p w14:paraId="49695D04" w14:textId="77777777" w:rsidR="002E3CA2" w:rsidRPr="00F70E44" w:rsidRDefault="002F489C" w:rsidP="00F70E44">
      <w:pPr>
        <w:numPr>
          <w:ilvl w:val="0"/>
          <w:numId w:val="5"/>
        </w:numPr>
        <w:tabs>
          <w:tab w:val="clear" w:pos="720"/>
          <w:tab w:val="num" w:pos="284"/>
        </w:tabs>
        <w:spacing w:line="228" w:lineRule="auto"/>
        <w:ind w:left="284" w:hanging="284"/>
        <w:rPr>
          <w:sz w:val="21"/>
          <w:szCs w:val="21"/>
        </w:rPr>
      </w:pPr>
      <w:r w:rsidRPr="00F70E44">
        <w:rPr>
          <w:sz w:val="21"/>
          <w:szCs w:val="21"/>
        </w:rPr>
        <w:t xml:space="preserve">Completar las preguntas de opción múltiple en la </w:t>
      </w:r>
      <w:r w:rsidRPr="00F70E44">
        <w:rPr>
          <w:b/>
          <w:sz w:val="21"/>
          <w:szCs w:val="21"/>
        </w:rPr>
        <w:t>acción</w:t>
      </w:r>
      <w:r w:rsidRPr="00F70E44">
        <w:rPr>
          <w:sz w:val="21"/>
          <w:szCs w:val="21"/>
        </w:rPr>
        <w:t xml:space="preserve"> de programación, los grupos de </w:t>
      </w:r>
      <w:r w:rsidRPr="00F70E44">
        <w:rPr>
          <w:b/>
          <w:sz w:val="21"/>
          <w:szCs w:val="21"/>
        </w:rPr>
        <w:t>edad</w:t>
      </w:r>
      <w:r w:rsidRPr="00F70E44">
        <w:rPr>
          <w:sz w:val="21"/>
          <w:szCs w:val="21"/>
        </w:rPr>
        <w:t xml:space="preserve"> y </w:t>
      </w:r>
      <w:r w:rsidRPr="00F70E44">
        <w:rPr>
          <w:b/>
          <w:sz w:val="21"/>
          <w:szCs w:val="21"/>
        </w:rPr>
        <w:t>género</w:t>
      </w:r>
      <w:r w:rsidRPr="00F70E44">
        <w:rPr>
          <w:sz w:val="21"/>
          <w:szCs w:val="21"/>
        </w:rPr>
        <w:t xml:space="preserve"> y proporcionar </w:t>
      </w:r>
      <w:r w:rsidRPr="00F70E44">
        <w:rPr>
          <w:b/>
          <w:sz w:val="21"/>
          <w:szCs w:val="21"/>
        </w:rPr>
        <w:t>pruebas</w:t>
      </w:r>
      <w:r w:rsidRPr="00F70E44">
        <w:rPr>
          <w:sz w:val="21"/>
          <w:szCs w:val="21"/>
        </w:rPr>
        <w:t>.</w:t>
      </w:r>
    </w:p>
    <w:p w14:paraId="6A224A9A" w14:textId="77777777" w:rsidR="002E3CA2" w:rsidRPr="00F70E44" w:rsidRDefault="002F489C" w:rsidP="00F70E44">
      <w:pPr>
        <w:numPr>
          <w:ilvl w:val="0"/>
          <w:numId w:val="5"/>
        </w:numPr>
        <w:tabs>
          <w:tab w:val="clear" w:pos="720"/>
          <w:tab w:val="num" w:pos="284"/>
        </w:tabs>
        <w:spacing w:line="228" w:lineRule="auto"/>
        <w:ind w:left="284" w:hanging="284"/>
        <w:rPr>
          <w:sz w:val="21"/>
          <w:szCs w:val="21"/>
        </w:rPr>
      </w:pPr>
      <w:r w:rsidRPr="00F70E44">
        <w:rPr>
          <w:sz w:val="21"/>
          <w:szCs w:val="21"/>
        </w:rPr>
        <w:t xml:space="preserve">Cuando las preguntas han sido respondidas, aparece la página de </w:t>
      </w:r>
      <w:r w:rsidRPr="00F70E44">
        <w:rPr>
          <w:b/>
          <w:sz w:val="21"/>
          <w:szCs w:val="21"/>
        </w:rPr>
        <w:t>Resultados</w:t>
      </w:r>
      <w:r w:rsidRPr="00F70E44">
        <w:rPr>
          <w:sz w:val="21"/>
          <w:szCs w:val="21"/>
        </w:rPr>
        <w:t xml:space="preserve"> con los códigos GEM y GAM calculados y con comentarios esclarecedores.</w:t>
      </w:r>
    </w:p>
    <w:p w14:paraId="4094E238" w14:textId="77777777" w:rsidR="002E3CA2" w:rsidRPr="00F70E44" w:rsidRDefault="002F489C" w:rsidP="00F70E44">
      <w:pPr>
        <w:numPr>
          <w:ilvl w:val="0"/>
          <w:numId w:val="5"/>
        </w:numPr>
        <w:tabs>
          <w:tab w:val="clear" w:pos="720"/>
          <w:tab w:val="num" w:pos="284"/>
        </w:tabs>
        <w:spacing w:line="228" w:lineRule="auto"/>
        <w:ind w:left="284" w:hanging="284"/>
        <w:rPr>
          <w:sz w:val="21"/>
          <w:szCs w:val="21"/>
        </w:rPr>
      </w:pPr>
      <w:r w:rsidRPr="00F70E44">
        <w:rPr>
          <w:sz w:val="21"/>
          <w:szCs w:val="21"/>
        </w:rPr>
        <w:t xml:space="preserve">También hay un </w:t>
      </w:r>
      <w:r w:rsidRPr="00F70E44">
        <w:rPr>
          <w:b/>
          <w:sz w:val="21"/>
          <w:szCs w:val="21"/>
        </w:rPr>
        <w:t>Plan de acción</w:t>
      </w:r>
      <w:r w:rsidRPr="00F70E44">
        <w:rPr>
          <w:sz w:val="21"/>
          <w:szCs w:val="21"/>
        </w:rPr>
        <w:t xml:space="preserve"> opcional para registrar los cambios acordados después de cada fase de Supervisión. </w:t>
      </w:r>
    </w:p>
    <w:p w14:paraId="2AB743E1" w14:textId="77777777" w:rsidR="00081BD4" w:rsidRPr="00F70E44" w:rsidRDefault="00081BD4" w:rsidP="00F70E44">
      <w:pPr>
        <w:spacing w:line="228" w:lineRule="auto"/>
        <w:rPr>
          <w:i/>
          <w:sz w:val="21"/>
          <w:szCs w:val="21"/>
        </w:rPr>
      </w:pPr>
    </w:p>
    <w:p w14:paraId="53B3D7CB" w14:textId="77777777" w:rsidR="004152F3" w:rsidRPr="00F70E44" w:rsidRDefault="002F489C" w:rsidP="00F70E44">
      <w:pPr>
        <w:spacing w:line="228" w:lineRule="auto"/>
        <w:rPr>
          <w:bCs/>
          <w:i/>
          <w:iCs/>
          <w:sz w:val="21"/>
          <w:szCs w:val="21"/>
        </w:rPr>
      </w:pPr>
      <w:r w:rsidRPr="00F70E44">
        <w:rPr>
          <w:i/>
          <w:sz w:val="21"/>
          <w:szCs w:val="21"/>
        </w:rPr>
        <w:t>Apoyo disponible</w:t>
      </w:r>
    </w:p>
    <w:p w14:paraId="356A6468" w14:textId="77777777" w:rsidR="00471A92" w:rsidRPr="00F70E44" w:rsidRDefault="002F489C" w:rsidP="00F70E44">
      <w:pPr>
        <w:pStyle w:val="ListParagraph"/>
        <w:numPr>
          <w:ilvl w:val="0"/>
          <w:numId w:val="3"/>
        </w:numPr>
        <w:spacing w:line="228" w:lineRule="auto"/>
        <w:ind w:left="360"/>
        <w:rPr>
          <w:sz w:val="21"/>
          <w:szCs w:val="21"/>
        </w:rPr>
      </w:pPr>
      <w:r w:rsidRPr="00F70E44">
        <w:rPr>
          <w:sz w:val="21"/>
          <w:szCs w:val="21"/>
        </w:rPr>
        <w:t>Los</w:t>
      </w:r>
      <w:r w:rsidR="006F2A3F">
        <w:rPr>
          <w:sz w:val="21"/>
          <w:szCs w:val="21"/>
        </w:rPr>
        <w:t>/as</w:t>
      </w:r>
      <w:r w:rsidRPr="00F70E44">
        <w:rPr>
          <w:sz w:val="21"/>
          <w:szCs w:val="21"/>
        </w:rPr>
        <w:t xml:space="preserve"> Coordinadores</w:t>
      </w:r>
      <w:r w:rsidR="006F2A3F">
        <w:rPr>
          <w:sz w:val="21"/>
          <w:szCs w:val="21"/>
        </w:rPr>
        <w:t>/as</w:t>
      </w:r>
      <w:r w:rsidRPr="00F70E44">
        <w:rPr>
          <w:sz w:val="21"/>
          <w:szCs w:val="21"/>
        </w:rPr>
        <w:t xml:space="preserve"> de grupo promueven la recopilación de datos desglosados por sexo y edad (SADD), asisten en la identificación de prioridades de género, promueven la aplicación del GAM (en ambas fases, de Diseño y Supervisión), elaboran estrategias para abordar prioridades y brechas y apoyan la capacidad de los miembros para implementar los planes de respuesta. </w:t>
      </w:r>
    </w:p>
    <w:p w14:paraId="4D9AC591" w14:textId="77777777" w:rsidR="00405125" w:rsidRPr="00F70E44" w:rsidRDefault="002F489C" w:rsidP="00F70E44">
      <w:pPr>
        <w:pStyle w:val="ListParagraph"/>
        <w:numPr>
          <w:ilvl w:val="0"/>
          <w:numId w:val="3"/>
        </w:numPr>
        <w:spacing w:line="228" w:lineRule="auto"/>
        <w:ind w:left="360"/>
        <w:rPr>
          <w:sz w:val="21"/>
          <w:szCs w:val="21"/>
        </w:rPr>
      </w:pPr>
      <w:r w:rsidRPr="00F70E44">
        <w:rPr>
          <w:sz w:val="21"/>
          <w:szCs w:val="21"/>
        </w:rPr>
        <w:t>Los</w:t>
      </w:r>
      <w:r w:rsidR="006F2A3F">
        <w:rPr>
          <w:sz w:val="21"/>
          <w:szCs w:val="21"/>
        </w:rPr>
        <w:t>/as</w:t>
      </w:r>
      <w:r w:rsidRPr="00F70E44">
        <w:rPr>
          <w:sz w:val="21"/>
          <w:szCs w:val="21"/>
        </w:rPr>
        <w:t xml:space="preserve"> Coordinadores</w:t>
      </w:r>
      <w:r w:rsidR="006F2A3F">
        <w:rPr>
          <w:sz w:val="21"/>
          <w:szCs w:val="21"/>
        </w:rPr>
        <w:t>/as</w:t>
      </w:r>
      <w:r w:rsidRPr="00F70E44">
        <w:rPr>
          <w:sz w:val="21"/>
          <w:szCs w:val="21"/>
        </w:rPr>
        <w:t xml:space="preserve"> de cuestiones de género de grupo/sector discuten cuestiones de género, desafíos para la prestación de servicios y formas de abordarlos.</w:t>
      </w:r>
    </w:p>
    <w:p w14:paraId="459A3912" w14:textId="77777777" w:rsidR="004152F3" w:rsidRPr="00F70E44" w:rsidRDefault="002F489C" w:rsidP="00F70E44">
      <w:pPr>
        <w:pStyle w:val="ListParagraph"/>
        <w:numPr>
          <w:ilvl w:val="0"/>
          <w:numId w:val="3"/>
        </w:numPr>
        <w:spacing w:line="228" w:lineRule="auto"/>
        <w:ind w:left="360"/>
        <w:rPr>
          <w:sz w:val="21"/>
          <w:szCs w:val="21"/>
        </w:rPr>
      </w:pPr>
      <w:r w:rsidRPr="00F70E44">
        <w:rPr>
          <w:sz w:val="21"/>
          <w:szCs w:val="21"/>
        </w:rPr>
        <w:t>Los</w:t>
      </w:r>
      <w:r w:rsidR="006F2A3F">
        <w:rPr>
          <w:sz w:val="21"/>
          <w:szCs w:val="21"/>
        </w:rPr>
        <w:t>/as</w:t>
      </w:r>
      <w:r w:rsidRPr="00F70E44">
        <w:rPr>
          <w:sz w:val="21"/>
          <w:szCs w:val="21"/>
        </w:rPr>
        <w:t xml:space="preserve"> Coordinadores</w:t>
      </w:r>
      <w:r w:rsidR="006F2A3F">
        <w:rPr>
          <w:sz w:val="21"/>
          <w:szCs w:val="21"/>
        </w:rPr>
        <w:t xml:space="preserve">/as / </w:t>
      </w:r>
      <w:r w:rsidRPr="00F70E44">
        <w:rPr>
          <w:sz w:val="21"/>
          <w:szCs w:val="21"/>
        </w:rPr>
        <w:t xml:space="preserve">Oficiales de cuestiones de género pueden asesorar sobre cómo mejorar la programación de igualdad de género. </w:t>
      </w:r>
    </w:p>
    <w:p w14:paraId="488C48DF" w14:textId="77777777" w:rsidR="004152F3" w:rsidRPr="00F70E44" w:rsidRDefault="002F489C" w:rsidP="00F70E44">
      <w:pPr>
        <w:pStyle w:val="ListParagraph"/>
        <w:numPr>
          <w:ilvl w:val="0"/>
          <w:numId w:val="3"/>
        </w:numPr>
        <w:spacing w:line="228" w:lineRule="auto"/>
        <w:ind w:left="360"/>
        <w:rPr>
          <w:sz w:val="21"/>
          <w:szCs w:val="21"/>
        </w:rPr>
      </w:pPr>
      <w:r w:rsidRPr="00F70E44">
        <w:rPr>
          <w:sz w:val="21"/>
          <w:szCs w:val="21"/>
        </w:rPr>
        <w:t xml:space="preserve">La Oficina de Coordinación de Asuntos Humanitarios (OCAH) brinda apoyo sobre cuándo aplicar y cómo subir los datos de la base de datos y acceder a estos. </w:t>
      </w:r>
    </w:p>
    <w:p w14:paraId="48D46AFA" w14:textId="77777777" w:rsidR="00405125" w:rsidRPr="00F70E44" w:rsidRDefault="002F489C" w:rsidP="00F70E44">
      <w:pPr>
        <w:pStyle w:val="ListParagraph"/>
        <w:numPr>
          <w:ilvl w:val="0"/>
          <w:numId w:val="3"/>
        </w:numPr>
        <w:spacing w:line="228" w:lineRule="auto"/>
        <w:ind w:left="360"/>
        <w:rPr>
          <w:sz w:val="21"/>
          <w:szCs w:val="21"/>
        </w:rPr>
      </w:pPr>
      <w:r w:rsidRPr="00F70E44">
        <w:rPr>
          <w:sz w:val="21"/>
          <w:szCs w:val="21"/>
        </w:rPr>
        <w:t xml:space="preserve">Se incluye orientación, incluidas Hojas de consejos, con la herramienta del GAM.  </w:t>
      </w:r>
    </w:p>
    <w:p w14:paraId="1818DC1A" w14:textId="77777777" w:rsidR="00BF6F89" w:rsidRPr="00F70E44" w:rsidRDefault="00F70E44" w:rsidP="00F70E44">
      <w:pPr>
        <w:pStyle w:val="ListParagraph"/>
        <w:numPr>
          <w:ilvl w:val="0"/>
          <w:numId w:val="3"/>
        </w:numPr>
        <w:spacing w:line="228" w:lineRule="auto"/>
        <w:ind w:left="360"/>
        <w:rPr>
          <w:sz w:val="22"/>
          <w:szCs w:val="22"/>
        </w:rPr>
      </w:pPr>
      <w:r w:rsidRPr="00F70E44">
        <w:rPr>
          <w:noProof/>
          <w:sz w:val="21"/>
          <w:szCs w:val="21"/>
          <w:lang w:val="fr-FR" w:eastAsia="fr-FR"/>
        </w:rPr>
        <w:drawing>
          <wp:anchor distT="0" distB="0" distL="114300" distR="114300" simplePos="0" relativeHeight="251657216" behindDoc="0" locked="0" layoutInCell="1" allowOverlap="1" wp14:anchorId="4A18C6C1" wp14:editId="338DBAFF">
            <wp:simplePos x="0" y="0"/>
            <wp:positionH relativeFrom="page">
              <wp:posOffset>31750</wp:posOffset>
            </wp:positionH>
            <wp:positionV relativeFrom="page">
              <wp:posOffset>9907270</wp:posOffset>
            </wp:positionV>
            <wp:extent cx="745490" cy="654685"/>
            <wp:effectExtent l="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549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mc:AlternateContent>
          <mc:Choice Requires="wps">
            <w:drawing>
              <wp:anchor distT="0" distB="0" distL="114300" distR="114300" simplePos="0" relativeHeight="251656192" behindDoc="0" locked="0" layoutInCell="1" allowOverlap="1" wp14:anchorId="5F4B9D27" wp14:editId="72D8DD2C">
                <wp:simplePos x="0" y="0"/>
                <wp:positionH relativeFrom="page">
                  <wp:posOffset>771525</wp:posOffset>
                </wp:positionH>
                <wp:positionV relativeFrom="paragraph">
                  <wp:posOffset>455295</wp:posOffset>
                </wp:positionV>
                <wp:extent cx="6505575" cy="914400"/>
                <wp:effectExtent l="0" t="0" r="952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5575" cy="914400"/>
                        </a:xfrm>
                        <a:prstGeom prst="rect">
                          <a:avLst/>
                        </a:prstGeom>
                        <a:solidFill>
                          <a:srgbClr val="EEECE1">
                            <a:lumMod val="90000"/>
                          </a:srgbClr>
                        </a:solidFill>
                        <a:ln>
                          <a:noFill/>
                        </a:ln>
                        <a:effectLst/>
                        <a:extLst/>
                      </wps:spPr>
                      <wps:txbx>
                        <w:txbxContent>
                          <w:p w14:paraId="591E1EB6" w14:textId="77777777" w:rsidR="00774CE7" w:rsidRPr="00F70E44" w:rsidRDefault="002F489C" w:rsidP="00895AD0">
                            <w:pPr>
                              <w:jc w:val="center"/>
                              <w:rPr>
                                <w:rFonts w:ascii="Garamond" w:hAnsi="Garamond" w:cs="Helvetica"/>
                                <w:sz w:val="18"/>
                                <w:szCs w:val="18"/>
                              </w:rPr>
                            </w:pPr>
                            <w:r w:rsidRPr="00F70E44">
                              <w:rPr>
                                <w:rFonts w:ascii="Garamond" w:hAnsi="Garamond"/>
                                <w:sz w:val="18"/>
                              </w:rPr>
                              <w:t>Para obtener más información sobre cómo funciona el GAM, véase la Hoja de consejos sobre el GAM, consejos para usar las GEM; véase la Hoja de consejos de GEM para cada sector, etc.</w:t>
                            </w:r>
                          </w:p>
                          <w:p w14:paraId="738D1550" w14:textId="77777777" w:rsidR="00774CE7" w:rsidRPr="00F70E44" w:rsidRDefault="002F489C" w:rsidP="00895AD0">
                            <w:pPr>
                              <w:jc w:val="right"/>
                              <w:rPr>
                                <w:rStyle w:val="Hyperlink"/>
                                <w:rFonts w:ascii="Garamond" w:hAnsi="Garamond" w:cs="Helvetica"/>
                                <w:color w:val="FF0000"/>
                                <w:sz w:val="18"/>
                                <w:szCs w:val="18"/>
                              </w:rPr>
                            </w:pPr>
                            <w:r w:rsidRPr="00F70E44">
                              <w:rPr>
                                <w:rFonts w:ascii="Garamond" w:hAnsi="Garamond"/>
                                <w:sz w:val="18"/>
                              </w:rPr>
                              <w:t xml:space="preserve">Para ver más recursos sobre </w:t>
                            </w:r>
                            <w:r w:rsidRPr="00F70E44">
                              <w:rPr>
                                <w:rFonts w:ascii="Garamond" w:hAnsi="Garamond"/>
                                <w:b/>
                                <w:sz w:val="18"/>
                              </w:rPr>
                              <w:t>el marcador de género y edad del Comité Permanente entre Organismos (IASC)</w:t>
                            </w:r>
                            <w:r w:rsidRPr="00F70E44">
                              <w:rPr>
                                <w:rFonts w:ascii="Garamond" w:hAnsi="Garamond"/>
                                <w:sz w:val="18"/>
                              </w:rPr>
                              <w:t xml:space="preserve"> y sobre cómo integrar el género y la edad en la programación humanitaria visite </w:t>
                            </w:r>
                            <w:hyperlink r:id="rId12" w:history="1">
                              <w:r w:rsidRPr="00F70E44">
                                <w:rPr>
                                  <w:rStyle w:val="Hyperlink"/>
                                  <w:rFonts w:ascii="Garamond" w:hAnsi="Garamond"/>
                                  <w:sz w:val="18"/>
                                </w:rPr>
                                <w:t>www.humanitarianresponse.info/</w:t>
                              </w:r>
                            </w:hyperlink>
                            <w:r w:rsidRPr="00F70E44">
                              <w:rPr>
                                <w:rStyle w:val="Hyperlink"/>
                                <w:rFonts w:ascii="Garamond" w:hAnsi="Garamond"/>
                                <w:sz w:val="18"/>
                              </w:rPr>
                              <w:t xml:space="preserve"> </w:t>
                            </w:r>
                            <w:r w:rsidRPr="00F70E44">
                              <w:rPr>
                                <w:rStyle w:val="Hyperlink"/>
                                <w:rFonts w:ascii="Garamond" w:hAnsi="Garamond"/>
                              </w:rPr>
                              <w:t>T</w:t>
                            </w:r>
                            <w:r w:rsidRPr="00F70E44">
                              <w:rPr>
                                <w:rStyle w:val="Hyperlink"/>
                                <w:rFonts w:ascii="Garamond" w:hAnsi="Garamond"/>
                                <w:color w:val="FF0000"/>
                                <w:sz w:val="18"/>
                                <w:u w:val="none"/>
                              </w:rPr>
                              <w:t>odavía no está disponible</w:t>
                            </w:r>
                          </w:p>
                          <w:p w14:paraId="06779F2B" w14:textId="77777777" w:rsidR="00774CE7" w:rsidRPr="00F70E44" w:rsidRDefault="002F489C" w:rsidP="00895AD0">
                            <w:pPr>
                              <w:jc w:val="right"/>
                              <w:rPr>
                                <w:rFonts w:ascii="Garamond" w:hAnsi="Garamond" w:cs="Helvetica"/>
                                <w:b/>
                                <w:i/>
                                <w:sz w:val="18"/>
                                <w:szCs w:val="18"/>
                              </w:rPr>
                            </w:pPr>
                            <w:r w:rsidRPr="00F70E44">
                              <w:rPr>
                                <w:rFonts w:ascii="Garamond" w:hAnsi="Garamond"/>
                                <w:sz w:val="18"/>
                              </w:rPr>
                              <w:t>Si desea acceder al curso de aprendizaje virtual</w:t>
                            </w:r>
                            <w:r w:rsidRPr="00F70E44">
                              <w:rPr>
                                <w:rFonts w:ascii="Garamond" w:hAnsi="Garamond"/>
                                <w:i/>
                                <w:sz w:val="18"/>
                              </w:rPr>
                              <w:t xml:space="preserve"> "</w:t>
                            </w:r>
                            <w:proofErr w:type="spellStart"/>
                            <w:r w:rsidRPr="00F70E44">
                              <w:rPr>
                                <w:rFonts w:ascii="Garamond" w:hAnsi="Garamond"/>
                                <w:b/>
                                <w:i/>
                                <w:sz w:val="18"/>
                              </w:rPr>
                              <w:t>Increasing</w:t>
                            </w:r>
                            <w:proofErr w:type="spellEnd"/>
                            <w:r w:rsidRPr="00F70E44">
                              <w:rPr>
                                <w:rFonts w:ascii="Garamond" w:hAnsi="Garamond"/>
                                <w:b/>
                                <w:i/>
                                <w:sz w:val="18"/>
                              </w:rPr>
                              <w:t xml:space="preserve"> </w:t>
                            </w:r>
                            <w:proofErr w:type="spellStart"/>
                            <w:r w:rsidRPr="00F70E44">
                              <w:rPr>
                                <w:rFonts w:ascii="Garamond" w:hAnsi="Garamond"/>
                                <w:b/>
                                <w:i/>
                                <w:sz w:val="18"/>
                              </w:rPr>
                              <w:t>Effectiveness</w:t>
                            </w:r>
                            <w:proofErr w:type="spellEnd"/>
                            <w:r w:rsidRPr="00F70E44">
                              <w:rPr>
                                <w:rFonts w:ascii="Garamond" w:hAnsi="Garamond"/>
                                <w:b/>
                                <w:i/>
                                <w:sz w:val="18"/>
                              </w:rPr>
                              <w:t xml:space="preserve"> </w:t>
                            </w:r>
                            <w:proofErr w:type="spellStart"/>
                            <w:r w:rsidRPr="00F70E44">
                              <w:rPr>
                                <w:rFonts w:ascii="Garamond" w:hAnsi="Garamond"/>
                                <w:b/>
                                <w:i/>
                                <w:sz w:val="18"/>
                              </w:rPr>
                              <w:t>of</w:t>
                            </w:r>
                            <w:proofErr w:type="spellEnd"/>
                            <w:r w:rsidRPr="00F70E44">
                              <w:rPr>
                                <w:rFonts w:ascii="Garamond" w:hAnsi="Garamond"/>
                                <w:b/>
                                <w:i/>
                                <w:sz w:val="18"/>
                              </w:rPr>
                              <w:t xml:space="preserve"> </w:t>
                            </w:r>
                            <w:proofErr w:type="spellStart"/>
                            <w:r w:rsidRPr="00F70E44">
                              <w:rPr>
                                <w:rFonts w:ascii="Garamond" w:hAnsi="Garamond"/>
                                <w:b/>
                                <w:i/>
                                <w:sz w:val="18"/>
                              </w:rPr>
                              <w:t>Humanitarian</w:t>
                            </w:r>
                            <w:proofErr w:type="spellEnd"/>
                            <w:r w:rsidRPr="00F70E44">
                              <w:rPr>
                                <w:rFonts w:ascii="Garamond" w:hAnsi="Garamond"/>
                                <w:b/>
                                <w:i/>
                                <w:sz w:val="18"/>
                              </w:rPr>
                              <w:t xml:space="preserve"> </w:t>
                            </w:r>
                            <w:proofErr w:type="spellStart"/>
                            <w:r w:rsidRPr="00F70E44">
                              <w:rPr>
                                <w:rFonts w:ascii="Garamond" w:hAnsi="Garamond"/>
                                <w:b/>
                                <w:i/>
                                <w:sz w:val="18"/>
                              </w:rPr>
                              <w:t>Action</w:t>
                            </w:r>
                            <w:proofErr w:type="spellEnd"/>
                            <w:r w:rsidRPr="00F70E44">
                              <w:rPr>
                                <w:rFonts w:ascii="Garamond" w:hAnsi="Garamond"/>
                                <w:b/>
                                <w:i/>
                                <w:sz w:val="18"/>
                              </w:rPr>
                              <w:t xml:space="preserve"> </w:t>
                            </w:r>
                            <w:proofErr w:type="spellStart"/>
                            <w:r w:rsidRPr="00F70E44">
                              <w:rPr>
                                <w:rFonts w:ascii="Garamond" w:hAnsi="Garamond"/>
                                <w:b/>
                                <w:i/>
                                <w:sz w:val="18"/>
                              </w:rPr>
                              <w:t>for</w:t>
                            </w:r>
                            <w:proofErr w:type="spellEnd"/>
                            <w:r w:rsidRPr="00F70E44">
                              <w:rPr>
                                <w:rFonts w:ascii="Garamond" w:hAnsi="Garamond"/>
                                <w:b/>
                                <w:i/>
                                <w:sz w:val="18"/>
                              </w:rPr>
                              <w:t xml:space="preserve"> </w:t>
                            </w:r>
                            <w:proofErr w:type="spellStart"/>
                            <w:r w:rsidRPr="00F70E44">
                              <w:rPr>
                                <w:rFonts w:ascii="Garamond" w:hAnsi="Garamond"/>
                                <w:b/>
                                <w:i/>
                                <w:sz w:val="18"/>
                              </w:rPr>
                              <w:t>Women</w:t>
                            </w:r>
                            <w:proofErr w:type="spellEnd"/>
                            <w:r w:rsidRPr="00F70E44">
                              <w:rPr>
                                <w:rFonts w:ascii="Garamond" w:hAnsi="Garamond"/>
                                <w:b/>
                                <w:i/>
                                <w:sz w:val="18"/>
                              </w:rPr>
                              <w:t xml:space="preserve">, </w:t>
                            </w:r>
                            <w:proofErr w:type="spellStart"/>
                            <w:r w:rsidRPr="00F70E44">
                              <w:rPr>
                                <w:rFonts w:ascii="Garamond" w:hAnsi="Garamond"/>
                                <w:b/>
                                <w:i/>
                                <w:sz w:val="18"/>
                              </w:rPr>
                              <w:t>Girls</w:t>
                            </w:r>
                            <w:proofErr w:type="spellEnd"/>
                            <w:r w:rsidRPr="00F70E44">
                              <w:rPr>
                                <w:rFonts w:ascii="Garamond" w:hAnsi="Garamond"/>
                                <w:b/>
                                <w:i/>
                                <w:sz w:val="18"/>
                              </w:rPr>
                              <w:t xml:space="preserve">, Boys and </w:t>
                            </w:r>
                            <w:proofErr w:type="spellStart"/>
                            <w:r w:rsidRPr="00F70E44">
                              <w:rPr>
                                <w:rFonts w:ascii="Garamond" w:hAnsi="Garamond"/>
                                <w:b/>
                                <w:i/>
                                <w:sz w:val="18"/>
                              </w:rPr>
                              <w:t>Men</w:t>
                            </w:r>
                            <w:proofErr w:type="spellEnd"/>
                            <w:r w:rsidRPr="00F70E44">
                              <w:rPr>
                                <w:rFonts w:ascii="Garamond" w:hAnsi="Garamond"/>
                                <w:i/>
                                <w:sz w:val="18"/>
                              </w:rPr>
                              <w:t xml:space="preserve">" </w:t>
                            </w:r>
                            <w:r w:rsidRPr="00F70E44">
                              <w:rPr>
                                <w:rFonts w:ascii="Garamond" w:hAnsi="Garamond"/>
                                <w:sz w:val="18"/>
                              </w:rPr>
                              <w:t xml:space="preserve">(Aumentar la eficacia de la acción humanitaria para mujeres, niñas, niños y hombres), visite: </w:t>
                            </w:r>
                            <w:hyperlink r:id="rId13" w:history="1">
                              <w:r w:rsidRPr="00F70E44">
                                <w:rPr>
                                  <w:rStyle w:val="Hyperlink"/>
                                  <w:rFonts w:ascii="Garamond" w:hAnsi="Garamond"/>
                                  <w:sz w:val="18"/>
                                </w:rPr>
                                <w:t>www.iasc-elearning.org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B9D27" id="_x0000_t202" coordsize="21600,21600" o:spt="202" path="m,l,21600r21600,l21600,xe">
                <v:stroke joinstyle="miter"/>
                <v:path gradientshapeok="t" o:connecttype="rect"/>
              </v:shapetype>
              <v:shape id="Text Box 78" o:spid="_x0000_s1026" type="#_x0000_t202" style="position:absolute;left:0;text-align:left;margin-left:60.75pt;margin-top:35.85pt;width:512.25pt;height: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" fillcolor="#ddd9c3" stroked="f">
                <v:textbox>
                  <w:txbxContent>
                    <w:p w14:paraId="591E1EB6" w14:textId="77777777" w:rsidR="00774CE7" w:rsidRPr="00F70E44" w:rsidRDefault="002F489C" w:rsidP="00895AD0">
                      <w:pPr>
                        <w:jc w:val="center"/>
                        <w:rPr>
                          <w:rFonts w:ascii="Garamond" w:hAnsi="Garamond" w:cs="Helvetica"/>
                          <w:sz w:val="18"/>
                          <w:szCs w:val="18"/>
                        </w:rPr>
                      </w:pPr>
                      <w:r w:rsidRPr="00F70E44">
                        <w:rPr>
                          <w:rFonts w:ascii="Garamond" w:hAnsi="Garamond"/>
                          <w:sz w:val="18"/>
                        </w:rPr>
                        <w:t>Para obtener más información sobre cómo funciona el GAM, véase la Hoja de consejos sobre el GAM, consejos para usar las GEM; véase la Hoja de consejos de GEM para cada sector, etc.</w:t>
                      </w:r>
                    </w:p>
                    <w:p w14:paraId="738D1550" w14:textId="77777777" w:rsidR="00774CE7" w:rsidRPr="00F70E44" w:rsidRDefault="002F489C" w:rsidP="00895AD0">
                      <w:pPr>
                        <w:jc w:val="right"/>
                        <w:rPr>
                          <w:rStyle w:val="Hyperlink"/>
                          <w:rFonts w:ascii="Garamond" w:hAnsi="Garamond" w:cs="Helvetica"/>
                          <w:color w:val="FF0000"/>
                          <w:sz w:val="18"/>
                          <w:szCs w:val="18"/>
                        </w:rPr>
                      </w:pPr>
                      <w:r w:rsidRPr="00F70E44">
                        <w:rPr>
                          <w:rFonts w:ascii="Garamond" w:hAnsi="Garamond"/>
                          <w:sz w:val="18"/>
                        </w:rPr>
                        <w:t xml:space="preserve">Para ver más recursos sobre </w:t>
                      </w:r>
                      <w:r w:rsidRPr="00F70E44">
                        <w:rPr>
                          <w:rFonts w:ascii="Garamond" w:hAnsi="Garamond"/>
                          <w:b/>
                          <w:sz w:val="18"/>
                        </w:rPr>
                        <w:t>el marcador de género y edad del Comité Permanente entre Organismos (IASC)</w:t>
                      </w:r>
                      <w:r w:rsidRPr="00F70E44">
                        <w:rPr>
                          <w:rFonts w:ascii="Garamond" w:hAnsi="Garamond"/>
                          <w:sz w:val="18"/>
                        </w:rPr>
                        <w:t xml:space="preserve"> y sobre cómo integrar el género y la edad en la programación humanitaria visite </w:t>
                      </w:r>
                      <w:hyperlink r:id="rId14" w:history="1">
                        <w:r w:rsidRPr="00F70E44">
                          <w:rPr>
                            <w:rStyle w:val="Hyperlink"/>
                            <w:rFonts w:ascii="Garamond" w:hAnsi="Garamond"/>
                            <w:sz w:val="18"/>
                          </w:rPr>
                          <w:t>www.humanitarianresponse.info/</w:t>
                        </w:r>
                      </w:hyperlink>
                      <w:r w:rsidRPr="00F70E44">
                        <w:rPr>
                          <w:rStyle w:val="Hyperlink"/>
                          <w:rFonts w:ascii="Garamond" w:hAnsi="Garamond"/>
                          <w:sz w:val="18"/>
                        </w:rPr>
                        <w:t xml:space="preserve"> </w:t>
                      </w:r>
                      <w:r w:rsidRPr="00F70E44">
                        <w:rPr>
                          <w:rStyle w:val="Hyperlink"/>
                          <w:rFonts w:ascii="Garamond" w:hAnsi="Garamond"/>
                        </w:rPr>
                        <w:t>T</w:t>
                      </w:r>
                      <w:r w:rsidRPr="00F70E44">
                        <w:rPr>
                          <w:rStyle w:val="Hyperlink"/>
                          <w:rFonts w:ascii="Garamond" w:hAnsi="Garamond"/>
                          <w:color w:val="FF0000"/>
                          <w:sz w:val="18"/>
                          <w:u w:val="none"/>
                        </w:rPr>
                        <w:t>odavía no está disponible</w:t>
                      </w:r>
                    </w:p>
                    <w:p w14:paraId="06779F2B" w14:textId="77777777" w:rsidR="00774CE7" w:rsidRPr="00F70E44" w:rsidRDefault="002F489C" w:rsidP="00895AD0">
                      <w:pPr>
                        <w:jc w:val="right"/>
                        <w:rPr>
                          <w:rFonts w:ascii="Garamond" w:hAnsi="Garamond" w:cs="Helvetica"/>
                          <w:b/>
                          <w:i/>
                          <w:sz w:val="18"/>
                          <w:szCs w:val="18"/>
                        </w:rPr>
                      </w:pPr>
                      <w:r w:rsidRPr="00F70E44">
                        <w:rPr>
                          <w:rFonts w:ascii="Garamond" w:hAnsi="Garamond"/>
                          <w:sz w:val="18"/>
                        </w:rPr>
                        <w:t>Si desea acceder al curso de aprendizaje virtual</w:t>
                      </w:r>
                      <w:r w:rsidRPr="00F70E44">
                        <w:rPr>
                          <w:rFonts w:ascii="Garamond" w:hAnsi="Garamond"/>
                          <w:i/>
                          <w:sz w:val="18"/>
                        </w:rPr>
                        <w:t xml:space="preserve"> "</w:t>
                      </w:r>
                      <w:proofErr w:type="spellStart"/>
                      <w:r w:rsidRPr="00F70E44">
                        <w:rPr>
                          <w:rFonts w:ascii="Garamond" w:hAnsi="Garamond"/>
                          <w:b/>
                          <w:i/>
                          <w:sz w:val="18"/>
                        </w:rPr>
                        <w:t>Increasing</w:t>
                      </w:r>
                      <w:proofErr w:type="spellEnd"/>
                      <w:r w:rsidRPr="00F70E44">
                        <w:rPr>
                          <w:rFonts w:ascii="Garamond" w:hAnsi="Garamond"/>
                          <w:b/>
                          <w:i/>
                          <w:sz w:val="18"/>
                        </w:rPr>
                        <w:t xml:space="preserve"> </w:t>
                      </w:r>
                      <w:proofErr w:type="spellStart"/>
                      <w:r w:rsidRPr="00F70E44">
                        <w:rPr>
                          <w:rFonts w:ascii="Garamond" w:hAnsi="Garamond"/>
                          <w:b/>
                          <w:i/>
                          <w:sz w:val="18"/>
                        </w:rPr>
                        <w:t>Effectiveness</w:t>
                      </w:r>
                      <w:proofErr w:type="spellEnd"/>
                      <w:r w:rsidRPr="00F70E44">
                        <w:rPr>
                          <w:rFonts w:ascii="Garamond" w:hAnsi="Garamond"/>
                          <w:b/>
                          <w:i/>
                          <w:sz w:val="18"/>
                        </w:rPr>
                        <w:t xml:space="preserve"> </w:t>
                      </w:r>
                      <w:proofErr w:type="spellStart"/>
                      <w:r w:rsidRPr="00F70E44">
                        <w:rPr>
                          <w:rFonts w:ascii="Garamond" w:hAnsi="Garamond"/>
                          <w:b/>
                          <w:i/>
                          <w:sz w:val="18"/>
                        </w:rPr>
                        <w:t>of</w:t>
                      </w:r>
                      <w:proofErr w:type="spellEnd"/>
                      <w:r w:rsidRPr="00F70E44">
                        <w:rPr>
                          <w:rFonts w:ascii="Garamond" w:hAnsi="Garamond"/>
                          <w:b/>
                          <w:i/>
                          <w:sz w:val="18"/>
                        </w:rPr>
                        <w:t xml:space="preserve"> </w:t>
                      </w:r>
                      <w:proofErr w:type="spellStart"/>
                      <w:r w:rsidRPr="00F70E44">
                        <w:rPr>
                          <w:rFonts w:ascii="Garamond" w:hAnsi="Garamond"/>
                          <w:b/>
                          <w:i/>
                          <w:sz w:val="18"/>
                        </w:rPr>
                        <w:t>Humanitarian</w:t>
                      </w:r>
                      <w:proofErr w:type="spellEnd"/>
                      <w:r w:rsidRPr="00F70E44">
                        <w:rPr>
                          <w:rFonts w:ascii="Garamond" w:hAnsi="Garamond"/>
                          <w:b/>
                          <w:i/>
                          <w:sz w:val="18"/>
                        </w:rPr>
                        <w:t xml:space="preserve"> </w:t>
                      </w:r>
                      <w:proofErr w:type="spellStart"/>
                      <w:r w:rsidRPr="00F70E44">
                        <w:rPr>
                          <w:rFonts w:ascii="Garamond" w:hAnsi="Garamond"/>
                          <w:b/>
                          <w:i/>
                          <w:sz w:val="18"/>
                        </w:rPr>
                        <w:t>Action</w:t>
                      </w:r>
                      <w:proofErr w:type="spellEnd"/>
                      <w:r w:rsidRPr="00F70E44">
                        <w:rPr>
                          <w:rFonts w:ascii="Garamond" w:hAnsi="Garamond"/>
                          <w:b/>
                          <w:i/>
                          <w:sz w:val="18"/>
                        </w:rPr>
                        <w:t xml:space="preserve"> </w:t>
                      </w:r>
                      <w:proofErr w:type="spellStart"/>
                      <w:r w:rsidRPr="00F70E44">
                        <w:rPr>
                          <w:rFonts w:ascii="Garamond" w:hAnsi="Garamond"/>
                          <w:b/>
                          <w:i/>
                          <w:sz w:val="18"/>
                        </w:rPr>
                        <w:t>for</w:t>
                      </w:r>
                      <w:proofErr w:type="spellEnd"/>
                      <w:r w:rsidRPr="00F70E44">
                        <w:rPr>
                          <w:rFonts w:ascii="Garamond" w:hAnsi="Garamond"/>
                          <w:b/>
                          <w:i/>
                          <w:sz w:val="18"/>
                        </w:rPr>
                        <w:t xml:space="preserve"> </w:t>
                      </w:r>
                      <w:proofErr w:type="spellStart"/>
                      <w:r w:rsidRPr="00F70E44">
                        <w:rPr>
                          <w:rFonts w:ascii="Garamond" w:hAnsi="Garamond"/>
                          <w:b/>
                          <w:i/>
                          <w:sz w:val="18"/>
                        </w:rPr>
                        <w:t>Women</w:t>
                      </w:r>
                      <w:proofErr w:type="spellEnd"/>
                      <w:r w:rsidRPr="00F70E44">
                        <w:rPr>
                          <w:rFonts w:ascii="Garamond" w:hAnsi="Garamond"/>
                          <w:b/>
                          <w:i/>
                          <w:sz w:val="18"/>
                        </w:rPr>
                        <w:t xml:space="preserve">, </w:t>
                      </w:r>
                      <w:proofErr w:type="spellStart"/>
                      <w:r w:rsidRPr="00F70E44">
                        <w:rPr>
                          <w:rFonts w:ascii="Garamond" w:hAnsi="Garamond"/>
                          <w:b/>
                          <w:i/>
                          <w:sz w:val="18"/>
                        </w:rPr>
                        <w:t>Girls</w:t>
                      </w:r>
                      <w:proofErr w:type="spellEnd"/>
                      <w:r w:rsidRPr="00F70E44">
                        <w:rPr>
                          <w:rFonts w:ascii="Garamond" w:hAnsi="Garamond"/>
                          <w:b/>
                          <w:i/>
                          <w:sz w:val="18"/>
                        </w:rPr>
                        <w:t xml:space="preserve">, Boys and </w:t>
                      </w:r>
                      <w:proofErr w:type="spellStart"/>
                      <w:r w:rsidRPr="00F70E44">
                        <w:rPr>
                          <w:rFonts w:ascii="Garamond" w:hAnsi="Garamond"/>
                          <w:b/>
                          <w:i/>
                          <w:sz w:val="18"/>
                        </w:rPr>
                        <w:t>Men</w:t>
                      </w:r>
                      <w:proofErr w:type="spellEnd"/>
                      <w:r w:rsidRPr="00F70E44">
                        <w:rPr>
                          <w:rFonts w:ascii="Garamond" w:hAnsi="Garamond"/>
                          <w:i/>
                          <w:sz w:val="18"/>
                        </w:rPr>
                        <w:t xml:space="preserve">" </w:t>
                      </w:r>
                      <w:r w:rsidRPr="00F70E44">
                        <w:rPr>
                          <w:rFonts w:ascii="Garamond" w:hAnsi="Garamond"/>
                          <w:sz w:val="18"/>
                        </w:rPr>
                        <w:t xml:space="preserve">(Aumentar la eficacia de la acción humanitaria para mujeres, niñas, niños y hombres), visite: </w:t>
                      </w:r>
                      <w:hyperlink r:id="rId15" w:history="1">
                        <w:r w:rsidRPr="00F70E44">
                          <w:rPr>
                            <w:rStyle w:val="Hyperlink"/>
                            <w:rFonts w:ascii="Garamond" w:hAnsi="Garamond"/>
                            <w:sz w:val="18"/>
                          </w:rPr>
                          <w:t>www.iasc-elearning.org</w:t>
                        </w:r>
                      </w:hyperlink>
                    </w:p>
                  </w:txbxContent>
                </v:textbox>
                <w10:wrap anchorx="page"/>
              </v:shape>
            </w:pict>
          </mc:Fallback>
        </mc:AlternateContent>
      </w:r>
      <w:r w:rsidR="002F489C" w:rsidRPr="00F70E44">
        <w:rPr>
          <w:sz w:val="21"/>
          <w:szCs w:val="21"/>
        </w:rPr>
        <w:t xml:space="preserve">También se encuentra disponible una capacitación en programas de igualdad de género y el GAM.  </w:t>
      </w:r>
      <w:r w:rsidR="00600FC2">
        <w:rPr>
          <w:noProof/>
          <w:lang w:val="fr-FR" w:eastAsia="fr-FR"/>
        </w:rPr>
        <w:drawing>
          <wp:anchor distT="0" distB="0" distL="114300" distR="114300" simplePos="0" relativeHeight="251655168" behindDoc="0" locked="1" layoutInCell="1" allowOverlap="1" wp14:anchorId="04A9D26E" wp14:editId="01FA79BE">
            <wp:simplePos x="0" y="0"/>
            <wp:positionH relativeFrom="margin">
              <wp:posOffset>5318125</wp:posOffset>
            </wp:positionH>
            <wp:positionV relativeFrom="margin">
              <wp:posOffset>10106025</wp:posOffset>
            </wp:positionV>
            <wp:extent cx="2736215" cy="335280"/>
            <wp:effectExtent l="0" t="0" r="6985" b="7620"/>
            <wp:wrapNone/>
            <wp:docPr id="19" name="Picture 11" descr="Macintosh HD:Users:Harry:Desktop:GenCap:_Deliverables:IASC Gender and Age Marker - Banner:IASC Banner v01 -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rry:Desktop:GenCap:_Deliverables:IASC Gender and Age Marker - Banner:IASC Banner v01 - Whi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215" cy="3352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6F89" w:rsidRPr="00F70E44" w:rsidSect="00876BE8">
      <w:headerReference w:type="default" r:id="rId1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D5528" w14:textId="77777777" w:rsidR="00CF429E" w:rsidRDefault="00CF429E" w:rsidP="004152F3">
      <w:r>
        <w:separator/>
      </w:r>
    </w:p>
  </w:endnote>
  <w:endnote w:type="continuationSeparator" w:id="0">
    <w:p w14:paraId="1089D54B" w14:textId="77777777" w:rsidR="00CF429E" w:rsidRDefault="00CF429E" w:rsidP="00415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08B6" w14:textId="77777777" w:rsidR="00CF429E" w:rsidRDefault="00CF429E" w:rsidP="004152F3">
      <w:r>
        <w:separator/>
      </w:r>
    </w:p>
  </w:footnote>
  <w:footnote w:type="continuationSeparator" w:id="0">
    <w:p w14:paraId="3BB73909" w14:textId="77777777" w:rsidR="00CF429E" w:rsidRDefault="00CF429E" w:rsidP="004152F3">
      <w:r>
        <w:continuationSeparator/>
      </w:r>
    </w:p>
  </w:footnote>
  <w:footnote w:id="1">
    <w:p w14:paraId="78404A6A" w14:textId="77777777" w:rsidR="00FC4894" w:rsidRDefault="002F489C" w:rsidP="00BD0976">
      <w:pPr>
        <w:pStyle w:val="FootnoteText"/>
        <w:contextualSpacing/>
      </w:pPr>
      <w:r>
        <w:rPr>
          <w:rStyle w:val="FootnoteReference"/>
        </w:rPr>
        <w:footnoteRef/>
      </w:r>
      <w:r>
        <w:t xml:space="preserve"> </w:t>
      </w:r>
      <w:r>
        <w:rPr>
          <w:sz w:val="16"/>
        </w:rPr>
        <w:t>También hay un plan de acción opcional para registrar las acciones para fortalecer las GEM o abordar brechas en la programación.  Esto puede incluir qué personas reciben beneficios, qué personas no reciben, qué actividades funcionan y dónde se encuentran consecuencias imprevistas.</w:t>
      </w:r>
    </w:p>
  </w:footnote>
  <w:footnote w:id="2">
    <w:p w14:paraId="5573C8FB" w14:textId="77777777" w:rsidR="00FC4894" w:rsidRDefault="002F489C">
      <w:pPr>
        <w:pStyle w:val="FootnoteText"/>
      </w:pPr>
      <w:r>
        <w:rPr>
          <w:rStyle w:val="FootnoteReference"/>
        </w:rPr>
        <w:footnoteRef/>
      </w:r>
      <w:r>
        <w:t xml:space="preserve"> </w:t>
      </w:r>
      <w:r>
        <w:rPr>
          <w:sz w:val="16"/>
        </w:rPr>
        <w:t>Esta es la opción más común.</w:t>
      </w:r>
    </w:p>
  </w:footnote>
  <w:footnote w:id="3">
    <w:p w14:paraId="55F2246B" w14:textId="77777777" w:rsidR="00FC4894" w:rsidRDefault="002F489C">
      <w:pPr>
        <w:pStyle w:val="FootnoteText"/>
      </w:pPr>
      <w:r>
        <w:rPr>
          <w:rStyle w:val="FootnoteReference"/>
        </w:rPr>
        <w:footnoteRef/>
      </w:r>
      <w:r>
        <w:t xml:space="preserve"> </w:t>
      </w:r>
      <w:r>
        <w:rPr>
          <w:sz w:val="16"/>
        </w:rPr>
        <w:t>Es posible rastrear los proyectos que se enfocan en el empoderamiento de la mujer mediante un análisis de los proyectos identificados como Acción específica y seleccionar mujeres y/o niñas como el grupo destinatario.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2F798" w14:textId="77777777" w:rsidR="00774CE7" w:rsidRDefault="00CF429E">
    <w:pPr>
      <w:pStyle w:val="Header"/>
    </w:pPr>
    <w:r>
      <w:rPr>
        <w:noProof/>
        <w:lang w:val="es-AR" w:eastAsia="es-AR"/>
      </w:rPr>
      <w:pict w14:anchorId="55B0B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14.5pt;height:122.9pt;rotation:315;z-index:-251658752;mso-wrap-edited:f;mso-position-horizontal:center;mso-position-horizontal-relative:margin;mso-position-vertical:center;mso-position-vertical-relative:margin" wrapcoords="21468 5268 18145 5268 18065 5400 18013 5926 17986 11590 16747 5663 16457 4609 16219 5926 15876 10141 14769 5926 14426 4873 14294 5268 13687 5268 13503 5400 13424 5795 13397 9482 12527 6453 12026 5004 11920 5268 11024 5268 10918 5400 10892 6190 10865 14751 8439 4741 8254 5531 8202 7375 8202 10404 6989 5663 6698 4609 6540 5400 6145 9351 5195 5400 4984 4741 4826 5663 4800 8297 3613 5136 3323 5400 3270 5663 3217 6585 3191 6453 2320 5136 2215 5531 2136 6585 1687 5531 1318 4741 1160 5268 395 5268 316 5663 290 6848 290 15936 474 16858 501 16858 685 16726 712 16463 738 11985 2268 16858 2268 16726 2531 16726 2584 16595 2610 15541 3454 17121 3613 16726 3613 16200 3639 11721 4483 15673 5037 17517 5248 16463 5881 16858 5960 16726 6461 13960 6593 14356 7621 17121 7674 16858 7859 16726 7885 16331 7701 14092 8149 16200 8703 17648 8914 16990 9468 16858 9652 16463 9626 15541 8676 10009 8676 6980 9362 10273 11156 17385 11314 16990 11894 16990 12316 16331 12738 15146 13608 16990 13793 16595 13846 14882 13846 11985 14953 17385 15217 16595 15138 15541 15454 16726 15692 17121 15850 16068 16087 13960 16615 13960 17432 17121 17670 16726 17723 16200 18329 17121 18435 16595 18435 14092 18672 11985 19200 11985 19806 14751 20650 17385 20782 16726 20808 10931 21178 6980 21494 6848 21573 6585 21573 5926 21468 5268" o:allowincell="f" fillcolor="silver" stroked="f">
          <v:fill opacity=".5"/>
          <v:textpath style="font-family:&quot;Calibri&quot;;font-size:1pt" string="FIN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46EA"/>
    <w:multiLevelType w:val="hybridMultilevel"/>
    <w:tmpl w:val="E4869108"/>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15:restartNumberingAfterBreak="0">
    <w:nsid w:val="1BAB3032"/>
    <w:multiLevelType w:val="hybridMultilevel"/>
    <w:tmpl w:val="40706456"/>
    <w:lvl w:ilvl="0" w:tplc="FFFFFFFF">
      <w:start w:val="1"/>
      <w:numFmt w:val="decimal"/>
      <w:lvlText w:val="%1."/>
      <w:lvlJc w:val="left"/>
      <w:pPr>
        <w:tabs>
          <w:tab w:val="num" w:pos="720"/>
        </w:tabs>
        <w:ind w:left="720" w:hanging="360"/>
      </w:pPr>
      <w:rPr>
        <w:rFonts w:cs="Times New Roman"/>
      </w:rPr>
    </w:lvl>
    <w:lvl w:ilvl="1" w:tplc="FFFFFFFF" w:tentative="1">
      <w:start w:val="1"/>
      <w:numFmt w:val="decimal"/>
      <w:lvlText w:val="%2."/>
      <w:lvlJc w:val="left"/>
      <w:pPr>
        <w:tabs>
          <w:tab w:val="num" w:pos="1440"/>
        </w:tabs>
        <w:ind w:left="1440" w:hanging="360"/>
      </w:pPr>
      <w:rPr>
        <w:rFonts w:cs="Times New Roman"/>
      </w:rPr>
    </w:lvl>
    <w:lvl w:ilvl="2" w:tplc="FFFFFFFF" w:tentative="1">
      <w:start w:val="1"/>
      <w:numFmt w:val="decimal"/>
      <w:lvlText w:val="%3."/>
      <w:lvlJc w:val="left"/>
      <w:pPr>
        <w:tabs>
          <w:tab w:val="num" w:pos="2160"/>
        </w:tabs>
        <w:ind w:left="2160" w:hanging="36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decimal"/>
      <w:lvlText w:val="%5."/>
      <w:lvlJc w:val="left"/>
      <w:pPr>
        <w:tabs>
          <w:tab w:val="num" w:pos="3600"/>
        </w:tabs>
        <w:ind w:left="3600" w:hanging="360"/>
      </w:pPr>
      <w:rPr>
        <w:rFonts w:cs="Times New Roman"/>
      </w:rPr>
    </w:lvl>
    <w:lvl w:ilvl="5" w:tplc="FFFFFFFF" w:tentative="1">
      <w:start w:val="1"/>
      <w:numFmt w:val="decimal"/>
      <w:lvlText w:val="%6."/>
      <w:lvlJc w:val="left"/>
      <w:pPr>
        <w:tabs>
          <w:tab w:val="num" w:pos="4320"/>
        </w:tabs>
        <w:ind w:left="4320" w:hanging="36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decimal"/>
      <w:lvlText w:val="%8."/>
      <w:lvlJc w:val="left"/>
      <w:pPr>
        <w:tabs>
          <w:tab w:val="num" w:pos="5760"/>
        </w:tabs>
        <w:ind w:left="5760" w:hanging="360"/>
      </w:pPr>
      <w:rPr>
        <w:rFonts w:cs="Times New Roman"/>
      </w:rPr>
    </w:lvl>
    <w:lvl w:ilvl="8" w:tplc="FFFFFFFF" w:tentative="1">
      <w:start w:val="1"/>
      <w:numFmt w:val="decimal"/>
      <w:lvlText w:val="%9."/>
      <w:lvlJc w:val="left"/>
      <w:pPr>
        <w:tabs>
          <w:tab w:val="num" w:pos="6480"/>
        </w:tabs>
        <w:ind w:left="6480" w:hanging="360"/>
      </w:pPr>
      <w:rPr>
        <w:rFonts w:cs="Times New Roman"/>
      </w:rPr>
    </w:lvl>
  </w:abstractNum>
  <w:abstractNum w:abstractNumId="2" w15:restartNumberingAfterBreak="0">
    <w:nsid w:val="30C23541"/>
    <w:multiLevelType w:val="hybridMultilevel"/>
    <w:tmpl w:val="967237CC"/>
    <w:lvl w:ilvl="0" w:tplc="FFFFFFFF">
      <w:start w:val="1"/>
      <w:numFmt w:val="lowerRoman"/>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 w15:restartNumberingAfterBreak="0">
    <w:nsid w:val="5DD04B81"/>
    <w:multiLevelType w:val="hybridMultilevel"/>
    <w:tmpl w:val="C4045B0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78BF7EC5"/>
    <w:multiLevelType w:val="hybridMultilevel"/>
    <w:tmpl w:val="231C6A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81"/>
  <w:drawingGridVerticalSpacing w:val="181"/>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17B"/>
    <w:rsid w:val="00000EAC"/>
    <w:rsid w:val="00007A75"/>
    <w:rsid w:val="00032122"/>
    <w:rsid w:val="00081BD4"/>
    <w:rsid w:val="001A21DF"/>
    <w:rsid w:val="001C6AB6"/>
    <w:rsid w:val="002E3CA2"/>
    <w:rsid w:val="002F489C"/>
    <w:rsid w:val="00333CEF"/>
    <w:rsid w:val="00405125"/>
    <w:rsid w:val="00413A46"/>
    <w:rsid w:val="004152F3"/>
    <w:rsid w:val="00471A92"/>
    <w:rsid w:val="004C217B"/>
    <w:rsid w:val="00571EA4"/>
    <w:rsid w:val="005A334C"/>
    <w:rsid w:val="005D44FA"/>
    <w:rsid w:val="00600FC2"/>
    <w:rsid w:val="006415A4"/>
    <w:rsid w:val="00663CE4"/>
    <w:rsid w:val="006F2A3F"/>
    <w:rsid w:val="00774CE7"/>
    <w:rsid w:val="007B661C"/>
    <w:rsid w:val="007C5DD8"/>
    <w:rsid w:val="00876BE8"/>
    <w:rsid w:val="00895AD0"/>
    <w:rsid w:val="0098790B"/>
    <w:rsid w:val="009A29D2"/>
    <w:rsid w:val="009D6103"/>
    <w:rsid w:val="009F7215"/>
    <w:rsid w:val="00A333DF"/>
    <w:rsid w:val="00A76EF8"/>
    <w:rsid w:val="00AB0043"/>
    <w:rsid w:val="00AE2E8C"/>
    <w:rsid w:val="00B568A9"/>
    <w:rsid w:val="00B767C8"/>
    <w:rsid w:val="00BD0976"/>
    <w:rsid w:val="00BF6F89"/>
    <w:rsid w:val="00C4734D"/>
    <w:rsid w:val="00CF429E"/>
    <w:rsid w:val="00D17784"/>
    <w:rsid w:val="00D83BAC"/>
    <w:rsid w:val="00E421B0"/>
    <w:rsid w:val="00E47F20"/>
    <w:rsid w:val="00E72745"/>
    <w:rsid w:val="00EE217A"/>
    <w:rsid w:val="00F1387A"/>
    <w:rsid w:val="00F15E8C"/>
    <w:rsid w:val="00F20564"/>
    <w:rsid w:val="00F32352"/>
    <w:rsid w:val="00F4576A"/>
    <w:rsid w:val="00F70E44"/>
    <w:rsid w:val="00FC4894"/>
    <w:rsid w:val="00FE6F43"/>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0048D9"/>
  <w14:defaultImageDpi w14:val="0"/>
  <w15:docId w15:val="{34CC38D3-BC5F-4A8C-8890-A38A7AB3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AR" w:eastAsia="es-A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u w:val="single"/>
      <w:lang w:val="es-ES" w:eastAsia="es-ES"/>
    </w:rPr>
  </w:style>
  <w:style w:type="character" w:styleId="FollowedHyperlink">
    <w:name w:val="FollowedHyperlink"/>
    <w:basedOn w:val="DefaultParagraphFont"/>
    <w:uiPriority w:val="99"/>
    <w:semiHidden/>
    <w:unhideWhenUsed/>
    <w:rPr>
      <w:color w:val="800080"/>
      <w:u w:val="single"/>
      <w:lang w:val="es-ES" w:eastAsia="es-ES"/>
    </w:rPr>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sz w:val="18"/>
      <w:lang w:val="es-ES" w:eastAsia="es-E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locked/>
    <w:rPr>
      <w:lang w:val="es-ES" w:eastAsia="es-E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locked/>
    <w:rPr>
      <w:lang w:val="es-ES" w:eastAsia="es-ES"/>
    </w:rPr>
  </w:style>
  <w:style w:type="character" w:styleId="CommentReference">
    <w:name w:val="annotation reference"/>
    <w:basedOn w:val="DefaultParagraphFont"/>
    <w:uiPriority w:val="99"/>
    <w:semiHidden/>
    <w:unhideWhenUsed/>
    <w:rPr>
      <w:sz w:val="16"/>
      <w:lang w:val="es-ES" w:eastAsia="es-E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sz w:val="20"/>
      <w:lang w:val="es-ES" w:eastAsia="es-E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b/>
      <w:sz w:val="20"/>
      <w:lang w:val="es-ES" w:eastAsia="es-ES"/>
    </w:r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locked/>
    <w:rPr>
      <w:sz w:val="20"/>
      <w:lang w:val="es-ES" w:eastAsia="es-ES"/>
    </w:rPr>
  </w:style>
  <w:style w:type="character" w:styleId="FootnoteReference">
    <w:name w:val="footnote reference"/>
    <w:basedOn w:val="DefaultParagraphFont"/>
    <w:uiPriority w:val="99"/>
    <w:semiHidden/>
    <w:unhideWhenUsed/>
    <w:rPr>
      <w:vertAlign w:val="superscript"/>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asc-elearning.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umanitarianresponse.inf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asc-elearning.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umanitarianresponse.inf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9ED1C-96D4-4C7A-877A-5700E166B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1093</Words>
  <Characters>6234</Characters>
  <Application>Microsoft Office Word</Application>
  <DocSecurity>0</DocSecurity>
  <Lines>51</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Merrin Waterhouse</dc:creator>
  <cp:keywords/>
  <dc:description/>
  <cp:lastModifiedBy>Fatima Sator</cp:lastModifiedBy>
  <cp:revision>2</cp:revision>
  <cp:lastPrinted>2017-07-06T09:12:00Z</cp:lastPrinted>
  <dcterms:created xsi:type="dcterms:W3CDTF">2018-08-06T08:49:00Z</dcterms:created>
  <dcterms:modified xsi:type="dcterms:W3CDTF">2018-08-06T08:49:00Z</dcterms:modified>
</cp:coreProperties>
</file>