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4F290" w14:textId="121769B0" w:rsidR="00594491" w:rsidRDefault="00594491" w:rsidP="00594491">
      <w:pPr>
        <w:jc w:val="center"/>
      </w:pPr>
      <w:r>
        <w:t xml:space="preserve">GAM Design Findings - </w:t>
      </w:r>
      <w:r w:rsidR="00737393">
        <w:t>Libya</w:t>
      </w:r>
    </w:p>
    <w:p w14:paraId="3F833048" w14:textId="26E02229" w:rsidR="000917B2" w:rsidRDefault="00D53A68" w:rsidP="000917B2">
      <w:r>
        <w:t>75</w:t>
      </w:r>
      <w:r w:rsidR="00594491" w:rsidRPr="00EA3D99">
        <w:t>%</w:t>
      </w:r>
      <w:r w:rsidR="00594491">
        <w:t xml:space="preserve"> of </w:t>
      </w:r>
      <w:r w:rsidR="00737393">
        <w:t>Libya</w:t>
      </w:r>
      <w:r w:rsidR="00EA3D99">
        <w:t xml:space="preserve"> </w:t>
      </w:r>
      <w:r w:rsidR="00594491">
        <w:t xml:space="preserve">projects </w:t>
      </w:r>
      <w:r>
        <w:t xml:space="preserve">(51/68) approved </w:t>
      </w:r>
      <w:r w:rsidR="00594491">
        <w:t xml:space="preserve">in the </w:t>
      </w:r>
      <w:r w:rsidR="00EA3D99">
        <w:t xml:space="preserve">2019 </w:t>
      </w:r>
      <w:r w:rsidR="00594491">
        <w:t>HPC completed the Gender with Age Marker</w:t>
      </w:r>
      <w:r>
        <w:t xml:space="preserve"> for project design.</w:t>
      </w:r>
      <w:r w:rsidR="000917B2">
        <w:t xml:space="preserve">  GAM information summarized here demonstrates considerable attention to gender- and age-related issues in the project design phase.  </w:t>
      </w:r>
    </w:p>
    <w:p w14:paraId="74B66F15" w14:textId="4ADDFD43" w:rsidR="00D53A68" w:rsidRDefault="00D53A68" w:rsidP="00594491">
      <w:r>
        <w:rPr>
          <w:noProof/>
        </w:rPr>
        <w:drawing>
          <wp:inline distT="0" distB="0" distL="0" distR="0" wp14:anchorId="4AEFD577" wp14:editId="50A1AC04">
            <wp:extent cx="2628900" cy="15267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8229" cy="1538010"/>
                    </a:xfrm>
                    <a:prstGeom prst="rect">
                      <a:avLst/>
                    </a:prstGeom>
                    <a:noFill/>
                  </pic:spPr>
                </pic:pic>
              </a:graphicData>
            </a:graphic>
          </wp:inline>
        </w:drawing>
      </w:r>
      <w:r>
        <w:tab/>
      </w:r>
      <w:r>
        <w:tab/>
      </w:r>
      <w:r>
        <w:rPr>
          <w:noProof/>
        </w:rPr>
        <w:drawing>
          <wp:inline distT="0" distB="0" distL="0" distR="0" wp14:anchorId="71C7481A" wp14:editId="22F0CC2E">
            <wp:extent cx="2219325" cy="15454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49" cy="1591883"/>
                    </a:xfrm>
                    <a:prstGeom prst="rect">
                      <a:avLst/>
                    </a:prstGeom>
                    <a:noFill/>
                  </pic:spPr>
                </pic:pic>
              </a:graphicData>
            </a:graphic>
          </wp:inline>
        </w:drawing>
      </w:r>
    </w:p>
    <w:p w14:paraId="3D30B947" w14:textId="512AC60F" w:rsidR="00594491" w:rsidRDefault="008D2CB3" w:rsidP="00594491">
      <w:r>
        <w:t xml:space="preserve">Over 90% of Libya </w:t>
      </w:r>
      <w:r w:rsidR="005C5B41">
        <w:t>projects</w:t>
      </w:r>
      <w:r w:rsidR="00594491">
        <w:t xml:space="preserve"> </w:t>
      </w:r>
      <w:r>
        <w:t xml:space="preserve">address </w:t>
      </w:r>
      <w:r w:rsidR="00594491">
        <w:t>gender</w:t>
      </w:r>
      <w:r>
        <w:t xml:space="preserve"> differences (</w:t>
      </w:r>
      <w:r w:rsidR="00BB22AA">
        <w:t>C</w:t>
      </w:r>
      <w:r>
        <w:t xml:space="preserve">ode 3) throughout their program, </w:t>
      </w:r>
      <w:r w:rsidR="00AF7F94">
        <w:t>and</w:t>
      </w:r>
      <w:r>
        <w:t xml:space="preserve"> most also mainstream a</w:t>
      </w:r>
      <w:r w:rsidR="00594491">
        <w:t>ge in their design (</w:t>
      </w:r>
      <w:r>
        <w:t xml:space="preserve">Code </w:t>
      </w:r>
      <w:r w:rsidR="00594491">
        <w:t>4.)</w:t>
      </w:r>
      <w:r w:rsidR="00AF7F94">
        <w:t xml:space="preserve">  Five projects indicate that they have no contact with or influence on servic</w:t>
      </w:r>
      <w:r w:rsidR="00317B09">
        <w:t xml:space="preserve">es </w:t>
      </w:r>
      <w:r w:rsidR="00BB22AA">
        <w:t>for</w:t>
      </w:r>
      <w:r w:rsidR="00317B09">
        <w:t xml:space="preserve"> affected people (Code N/A), though this could be debated with respect to humanitarian coordination projects.</w:t>
      </w:r>
    </w:p>
    <w:p w14:paraId="1140BAF4" w14:textId="1BC8DA30" w:rsidR="00594491" w:rsidRPr="00BB22AA" w:rsidRDefault="00594491" w:rsidP="0009089B">
      <w:pPr>
        <w:rPr>
          <w:i/>
          <w:iCs/>
          <w:sz w:val="28"/>
          <w:szCs w:val="28"/>
        </w:rPr>
      </w:pPr>
      <w:r>
        <w:t>The GAM asks users to consider four program elements in project design:  analysis, activities, participation and benefits</w:t>
      </w:r>
      <w:r w:rsidRPr="00BB22AA">
        <w:rPr>
          <w:i/>
          <w:iCs/>
        </w:rPr>
        <w:t>.</w:t>
      </w:r>
      <w:r w:rsidR="005C5B41" w:rsidRPr="00BB22AA">
        <w:t xml:space="preserve">  </w:t>
      </w:r>
      <w:r w:rsidRPr="00BB22AA">
        <w:t xml:space="preserve">In ALL of these areas, </w:t>
      </w:r>
      <w:r w:rsidR="00667030" w:rsidRPr="00BB22AA">
        <w:t xml:space="preserve">at least </w:t>
      </w:r>
      <w:r w:rsidR="00BB22AA" w:rsidRPr="00BB22AA">
        <w:t>83</w:t>
      </w:r>
      <w:r w:rsidRPr="00BB22AA">
        <w:t xml:space="preserve">% of </w:t>
      </w:r>
      <w:r w:rsidR="00667030" w:rsidRPr="00BB22AA">
        <w:t>project</w:t>
      </w:r>
      <w:r w:rsidRPr="00BB22AA">
        <w:t>s show intention to address gender differences, and in most cases gender and age differences, in their projects.</w:t>
      </w:r>
      <w:r w:rsidRPr="00BB22AA">
        <w:rPr>
          <w:i/>
          <w:iCs/>
        </w:rPr>
        <w:t xml:space="preserve">  </w:t>
      </w:r>
      <w:r w:rsidR="00F82B63" w:rsidRPr="00BB22AA">
        <w:rPr>
          <w:i/>
          <w:iCs/>
        </w:rPr>
        <w:t xml:space="preserve">  </w:t>
      </w:r>
    </w:p>
    <w:p w14:paraId="7B50D42A" w14:textId="7EA3B274" w:rsidR="00667030" w:rsidRDefault="00AF7F94" w:rsidP="005C5B41">
      <w:r>
        <w:rPr>
          <w:noProof/>
        </w:rPr>
        <w:drawing>
          <wp:inline distT="0" distB="0" distL="0" distR="0" wp14:anchorId="3EA98C7B" wp14:editId="1C2FE1D7">
            <wp:extent cx="2676525" cy="210340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03247" cy="2124406"/>
                    </a:xfrm>
                    <a:prstGeom prst="rect">
                      <a:avLst/>
                    </a:prstGeom>
                    <a:noFill/>
                  </pic:spPr>
                </pic:pic>
              </a:graphicData>
            </a:graphic>
          </wp:inline>
        </w:drawing>
      </w:r>
    </w:p>
    <w:p w14:paraId="7F61B358" w14:textId="1BDAA222" w:rsidR="00AF7F94" w:rsidRDefault="00594491" w:rsidP="00AF7F94">
      <w:r>
        <w:t xml:space="preserve">Under analysis, </w:t>
      </w:r>
      <w:r w:rsidR="00AF7F94">
        <w:t>a third</w:t>
      </w:r>
      <w:r>
        <w:t xml:space="preserve"> of projects (</w:t>
      </w:r>
      <w:r w:rsidR="00AF7F94">
        <w:t>33</w:t>
      </w:r>
      <w:r>
        <w:t xml:space="preserve">%) indicate a focus on “women, girls, boys, </w:t>
      </w:r>
      <w:r w:rsidR="000E6471">
        <w:t xml:space="preserve">and </w:t>
      </w:r>
      <w:r>
        <w:t xml:space="preserve">men;” </w:t>
      </w:r>
      <w:r w:rsidR="00AF7F94">
        <w:t>9</w:t>
      </w:r>
      <w:r>
        <w:t xml:space="preserve">% </w:t>
      </w:r>
      <w:r w:rsidR="000E6471">
        <w:t xml:space="preserve">are </w:t>
      </w:r>
      <w:r>
        <w:t xml:space="preserve">primarily concerned with </w:t>
      </w:r>
      <w:r w:rsidR="00AF7F94">
        <w:t>girls and boys</w:t>
      </w:r>
      <w:r w:rsidR="00317B09">
        <w:t>, and</w:t>
      </w:r>
      <w:r>
        <w:t xml:space="preserve"> </w:t>
      </w:r>
      <w:r w:rsidR="00AF7F94">
        <w:t>9% say that their analysis is primarily concerned with women. 15% of projects indicate that their analysis is concerned with people of diverse gender orientation</w:t>
      </w:r>
      <w:r w:rsidR="00673632">
        <w:t>/identity</w:t>
      </w:r>
      <w:r w:rsidR="00AF7F94">
        <w:t xml:space="preserve">, but there </w:t>
      </w:r>
      <w:r w:rsidR="00317B09">
        <w:t>is likely</w:t>
      </w:r>
      <w:r w:rsidR="00AF7F94">
        <w:t xml:space="preserve"> confusion about th</w:t>
      </w:r>
      <w:r w:rsidR="00673632">
        <w:t>e</w:t>
      </w:r>
      <w:r w:rsidR="00AF7F94">
        <w:t xml:space="preserve"> definition as </w:t>
      </w:r>
      <w:r w:rsidR="00317B09">
        <w:t>this gender group is not mentioned</w:t>
      </w:r>
      <w:r w:rsidR="00AF7F94">
        <w:t xml:space="preserve"> in any of the narrative analyses. </w:t>
      </w:r>
    </w:p>
    <w:p w14:paraId="3AC4FE5C" w14:textId="06B8A375" w:rsidR="009C3706" w:rsidRPr="005C55EA" w:rsidRDefault="005C55EA" w:rsidP="00AF7F94">
      <w:pPr>
        <w:rPr>
          <w:i/>
          <w:iCs/>
        </w:rPr>
      </w:pPr>
      <w:r>
        <w:rPr>
          <w:i/>
          <w:iCs/>
        </w:rPr>
        <w:t>STILL DRAFT</w:t>
      </w:r>
    </w:p>
    <w:p w14:paraId="799C0F45" w14:textId="69855E31" w:rsidR="00F82B63" w:rsidRPr="004E3377" w:rsidRDefault="007459FB" w:rsidP="00AF7F94">
      <w:r>
        <w:t>O</w:t>
      </w:r>
      <w:r w:rsidR="0009089B" w:rsidRPr="004E3377">
        <w:t>ne</w:t>
      </w:r>
      <w:r w:rsidR="00F82B63" w:rsidRPr="004E3377">
        <w:t xml:space="preserve"> third</w:t>
      </w:r>
      <w:r w:rsidR="004E68B8" w:rsidRPr="004E3377">
        <w:t xml:space="preserve"> of project</w:t>
      </w:r>
      <w:r w:rsidR="00DE5E68" w:rsidRPr="004E3377">
        <w:t>s</w:t>
      </w:r>
      <w:r w:rsidR="004E68B8" w:rsidRPr="004E3377">
        <w:t xml:space="preserve"> (</w:t>
      </w:r>
      <w:r>
        <w:t xml:space="preserve">32%) </w:t>
      </w:r>
      <w:r w:rsidR="004E3377">
        <w:t>d</w:t>
      </w:r>
      <w:r w:rsidR="0009089B" w:rsidRPr="004E3377">
        <w:t>emonstrate</w:t>
      </w:r>
      <w:r w:rsidR="004E68B8" w:rsidRPr="004E3377">
        <w:t xml:space="preserve"> clear analysis of </w:t>
      </w:r>
      <w:r w:rsidR="00594491" w:rsidRPr="004E3377">
        <w:t xml:space="preserve">effects of gender </w:t>
      </w:r>
      <w:r w:rsidR="004E3377">
        <w:t xml:space="preserve">and/or age </w:t>
      </w:r>
      <w:r w:rsidR="00594491" w:rsidRPr="004E3377">
        <w:t xml:space="preserve">inequality in </w:t>
      </w:r>
      <w:r w:rsidR="004E3377">
        <w:t>Libya.  O</w:t>
      </w:r>
      <w:r w:rsidR="004E68B8" w:rsidRPr="004E3377">
        <w:t xml:space="preserve">rganizations </w:t>
      </w:r>
      <w:r w:rsidR="004E3377">
        <w:t xml:space="preserve">working with children </w:t>
      </w:r>
      <w:r w:rsidR="004E68B8" w:rsidRPr="004E3377">
        <w:t xml:space="preserve">appear particularly strong in this respect.  </w:t>
      </w:r>
      <w:r w:rsidR="004E3377">
        <w:t xml:space="preserve">A smaller group of projects </w:t>
      </w:r>
      <w:r>
        <w:t xml:space="preserve">(28%) </w:t>
      </w:r>
      <w:r w:rsidR="004E3377">
        <w:t>have a very limited concept of analysis,</w:t>
      </w:r>
      <w:r w:rsidR="004E68B8" w:rsidRPr="004E3377">
        <w:t xml:space="preserve"> </w:t>
      </w:r>
      <w:r w:rsidR="00594491" w:rsidRPr="004E3377">
        <w:t>express</w:t>
      </w:r>
      <w:r w:rsidR="004E3377">
        <w:t>ing</w:t>
      </w:r>
      <w:r w:rsidR="00594491" w:rsidRPr="004E3377">
        <w:t xml:space="preserve"> </w:t>
      </w:r>
      <w:r w:rsidR="004E68B8" w:rsidRPr="004E3377">
        <w:t>a</w:t>
      </w:r>
      <w:r w:rsidR="004E3377">
        <w:t xml:space="preserve">n intention </w:t>
      </w:r>
      <w:r w:rsidR="004E68B8" w:rsidRPr="004E3377">
        <w:t xml:space="preserve">to address inequality as </w:t>
      </w:r>
      <w:r w:rsidR="004E68B8" w:rsidRPr="004E3377">
        <w:lastRenderedPageBreak/>
        <w:t>oppos</w:t>
      </w:r>
      <w:r w:rsidR="00757BC0">
        <w:t>ed to an analysis of it, or citing</w:t>
      </w:r>
      <w:r w:rsidR="00F82B63" w:rsidRPr="004E3377">
        <w:t xml:space="preserve"> disaggregated</w:t>
      </w:r>
      <w:r w:rsidR="004E68B8" w:rsidRPr="004E3377">
        <w:t xml:space="preserve"> statistics </w:t>
      </w:r>
      <w:r w:rsidR="0009089B" w:rsidRPr="004E3377">
        <w:t xml:space="preserve">often </w:t>
      </w:r>
      <w:r w:rsidR="004E68B8" w:rsidRPr="004E3377">
        <w:t xml:space="preserve">unrelated to their sector or activities.  </w:t>
      </w:r>
      <w:r w:rsidR="00F82B63" w:rsidRPr="004E3377">
        <w:t>Many projects focus their analysis exclusively on gender-based violence</w:t>
      </w:r>
      <w:r w:rsidR="004E3377">
        <w:t>, or on the situation of migrants</w:t>
      </w:r>
      <w:r w:rsidR="00F82B63" w:rsidRPr="004E3377">
        <w:t xml:space="preserve">. Twenty projects </w:t>
      </w:r>
      <w:r w:rsidR="0009089B" w:rsidRPr="004E3377">
        <w:t xml:space="preserve">(approx. </w:t>
      </w:r>
      <w:r w:rsidR="004E3377">
        <w:t>40%</w:t>
      </w:r>
      <w:r w:rsidR="0009089B" w:rsidRPr="004E3377">
        <w:t xml:space="preserve">) </w:t>
      </w:r>
      <w:r w:rsidR="00F82B63" w:rsidRPr="004E3377">
        <w:t>have no gender analysis</w:t>
      </w:r>
      <w:r w:rsidR="004E3377">
        <w:t>.</w:t>
      </w:r>
    </w:p>
    <w:p w14:paraId="7302B4E9" w14:textId="5C6D1C99" w:rsidR="00F82B63" w:rsidRDefault="009C3706" w:rsidP="00594491">
      <w:r>
        <w:t xml:space="preserve">  </w:t>
      </w:r>
      <w:r w:rsidR="004E3377">
        <w:rPr>
          <w:noProof/>
        </w:rPr>
        <w:drawing>
          <wp:inline distT="0" distB="0" distL="0" distR="0" wp14:anchorId="172E2EFF" wp14:editId="59124B64">
            <wp:extent cx="2914650" cy="1750730"/>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49855" cy="1771876"/>
                    </a:xfrm>
                    <a:prstGeom prst="rect">
                      <a:avLst/>
                    </a:prstGeom>
                    <a:noFill/>
                  </pic:spPr>
                </pic:pic>
              </a:graphicData>
            </a:graphic>
          </wp:inline>
        </w:drawing>
      </w:r>
      <w:r w:rsidR="005C55EA">
        <w:tab/>
      </w:r>
      <w:r>
        <w:t xml:space="preserve"> </w:t>
      </w:r>
      <w:r w:rsidR="005937BC">
        <w:rPr>
          <w:noProof/>
        </w:rPr>
        <w:drawing>
          <wp:inline distT="0" distB="0" distL="0" distR="0" wp14:anchorId="5E9181A0" wp14:editId="0F26C4AC">
            <wp:extent cx="2438400" cy="130185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103" cy="1321988"/>
                    </a:xfrm>
                    <a:prstGeom prst="rect">
                      <a:avLst/>
                    </a:prstGeom>
                    <a:noFill/>
                  </pic:spPr>
                </pic:pic>
              </a:graphicData>
            </a:graphic>
          </wp:inline>
        </w:drawing>
      </w:r>
    </w:p>
    <w:p w14:paraId="2E465F44" w14:textId="77777777" w:rsidR="009C3706" w:rsidRDefault="009C3706" w:rsidP="00594491"/>
    <w:p w14:paraId="49E34FBF" w14:textId="5863B68C" w:rsidR="00594491" w:rsidRDefault="004E68B8" w:rsidP="00594491">
      <w:r>
        <w:t>Support</w:t>
      </w:r>
      <w:r w:rsidR="00594491" w:rsidRPr="004E68B8">
        <w:t xml:space="preserve"> is needed to help project holders </w:t>
      </w:r>
      <w:r>
        <w:t>understand how and gender and age</w:t>
      </w:r>
      <w:r w:rsidR="00594491" w:rsidRPr="004E68B8">
        <w:t xml:space="preserve"> analysis </w:t>
      </w:r>
      <w:r w:rsidR="00F82B63">
        <w:t>can</w:t>
      </w:r>
      <w:r w:rsidR="00594491" w:rsidRPr="004E68B8">
        <w:t xml:space="preserve"> inform </w:t>
      </w:r>
      <w:r w:rsidR="004639CE" w:rsidRPr="004E68B8">
        <w:t xml:space="preserve">the </w:t>
      </w:r>
      <w:r w:rsidR="00594491" w:rsidRPr="004E68B8">
        <w:t xml:space="preserve">activities to be delivered, how different groups </w:t>
      </w:r>
      <w:r w:rsidR="00F82B63">
        <w:t>can</w:t>
      </w:r>
      <w:r w:rsidR="00594491" w:rsidRPr="004E68B8">
        <w:t xml:space="preserve"> be engaged, or how results will be measured; and at sector level to ensure all partners understand the implications of marginalization for their work.</w:t>
      </w:r>
      <w:r w:rsidR="00594491">
        <w:t xml:space="preserve">  </w:t>
      </w:r>
    </w:p>
    <w:p w14:paraId="30772B07" w14:textId="169070AF" w:rsidR="00594491" w:rsidRDefault="007459FB" w:rsidP="00594491">
      <w:r>
        <w:t>43% of</w:t>
      </w:r>
      <w:r w:rsidR="00594491">
        <w:t xml:space="preserve"> project</w:t>
      </w:r>
      <w:r w:rsidR="009200E7">
        <w:t xml:space="preserve">s plan to </w:t>
      </w:r>
      <w:r w:rsidR="00594491">
        <w:t xml:space="preserve">adapt or tailor </w:t>
      </w:r>
      <w:r w:rsidR="009200E7">
        <w:t xml:space="preserve">activities </w:t>
      </w:r>
      <w:r w:rsidR="009C3706">
        <w:t xml:space="preserve">on the basis </w:t>
      </w:r>
      <w:r w:rsidR="00982A60">
        <w:t>of gendered needs, roles and dynamic</w:t>
      </w:r>
      <w:r w:rsidR="009200E7">
        <w:t>s</w:t>
      </w:r>
      <w:r w:rsidR="00F50C8A">
        <w:t xml:space="preserve">, and </w:t>
      </w:r>
      <w:r>
        <w:t>54%</w:t>
      </w:r>
      <w:r w:rsidR="00F50C8A">
        <w:t xml:space="preserve"> tailor </w:t>
      </w:r>
      <w:r w:rsidR="005937BC">
        <w:t xml:space="preserve">activities </w:t>
      </w:r>
      <w:r w:rsidR="00982A60">
        <w:t>based on</w:t>
      </w:r>
      <w:r w:rsidR="00594491">
        <w:t xml:space="preserve"> different needs.    </w:t>
      </w:r>
      <w:r w:rsidR="00F50C8A">
        <w:t>There are no projects that constitute</w:t>
      </w:r>
      <w:r w:rsidR="00982A60">
        <w:t xml:space="preserve"> </w:t>
      </w:r>
      <w:r w:rsidR="00F50C8A">
        <w:t>“</w:t>
      </w:r>
      <w:r w:rsidR="00982A60">
        <w:t>targeted action</w:t>
      </w:r>
      <w:r w:rsidR="00F50C8A">
        <w:t xml:space="preserve">” (Code T) </w:t>
      </w:r>
      <w:r w:rsidR="00982A60">
        <w:t>to reduce</w:t>
      </w:r>
      <w:r w:rsidR="00594491">
        <w:t xml:space="preserve"> ge</w:t>
      </w:r>
      <w:r w:rsidR="00982A60">
        <w:t xml:space="preserve">nder </w:t>
      </w:r>
      <w:r w:rsidR="00F50C8A">
        <w:t xml:space="preserve">barriers or discrimination, which is not unusual in emergencies. </w:t>
      </w:r>
      <w:r w:rsidR="00594491">
        <w:t xml:space="preserve"> </w:t>
      </w:r>
    </w:p>
    <w:p w14:paraId="1BEC7A2A" w14:textId="1C237F58" w:rsidR="00594491" w:rsidRDefault="00594491" w:rsidP="00594491">
      <w:r>
        <w:t>How affected people participate differs widely among projects and sho</w:t>
      </w:r>
      <w:r w:rsidR="005937BC">
        <w:t xml:space="preserve">ws meaningful response. While </w:t>
      </w:r>
      <w:r w:rsidR="00586073">
        <w:t>30</w:t>
      </w:r>
      <w:r>
        <w:t xml:space="preserve">% say affected people will be involved in </w:t>
      </w:r>
      <w:r w:rsidRPr="007A3B8C">
        <w:rPr>
          <w:i/>
          <w:iCs/>
        </w:rPr>
        <w:t xml:space="preserve">all </w:t>
      </w:r>
      <w:r>
        <w:t>aspects of project manageme</w:t>
      </w:r>
      <w:r w:rsidR="005937BC">
        <w:t xml:space="preserve">nt, most are more plausible.  </w:t>
      </w:r>
      <w:r w:rsidR="00586073">
        <w:t>17</w:t>
      </w:r>
      <w:r>
        <w:t xml:space="preserve">% of projects involve beneficiaries in </w:t>
      </w:r>
      <w:r>
        <w:rPr>
          <w:i/>
          <w:iCs/>
        </w:rPr>
        <w:t>three</w:t>
      </w:r>
      <w:r>
        <w:t xml:space="preserve"> stages – assessment, design and delivery</w:t>
      </w:r>
      <w:r w:rsidR="00483404">
        <w:t xml:space="preserve">; 11% of projects say people are not involved.  The </w:t>
      </w:r>
      <w:r>
        <w:t>remain</w:t>
      </w:r>
      <w:r w:rsidR="00483404">
        <w:t>ing 40% of projects appear to realistically select</w:t>
      </w:r>
      <w:r>
        <w:t xml:space="preserve"> 1-2 aspects of project management where affected people will be involved. </w:t>
      </w:r>
    </w:p>
    <w:p w14:paraId="5A17657D" w14:textId="4D4E062F" w:rsidR="00594491" w:rsidRDefault="00586073" w:rsidP="00594491">
      <w:r>
        <w:rPr>
          <w:noProof/>
        </w:rPr>
        <w:drawing>
          <wp:inline distT="0" distB="0" distL="0" distR="0" wp14:anchorId="2CE2AEFF" wp14:editId="148B0543">
            <wp:extent cx="1873837" cy="1447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0346" cy="1522367"/>
                    </a:xfrm>
                    <a:prstGeom prst="rect">
                      <a:avLst/>
                    </a:prstGeom>
                    <a:noFill/>
                  </pic:spPr>
                </pic:pic>
              </a:graphicData>
            </a:graphic>
          </wp:inline>
        </w:drawing>
      </w:r>
    </w:p>
    <w:p w14:paraId="4E9D4A25" w14:textId="4A79ED43" w:rsidR="00594491" w:rsidRDefault="00737393" w:rsidP="006921E6">
      <w:bookmarkStart w:id="0" w:name="_Hlk531246573"/>
      <w:r>
        <w:t>Libya</w:t>
      </w:r>
      <w:r w:rsidR="00E260CD">
        <w:t>’s</w:t>
      </w:r>
      <w:r w:rsidR="00A33E02">
        <w:t xml:space="preserve"> high </w:t>
      </w:r>
      <w:r w:rsidR="00E260CD">
        <w:t xml:space="preserve">GAM </w:t>
      </w:r>
      <w:r w:rsidR="00A33E02">
        <w:t>completion rate</w:t>
      </w:r>
      <w:r w:rsidR="00E260CD">
        <w:t xml:space="preserve"> is due to the enthusiasm and commitment of OCHA humanitarian staff</w:t>
      </w:r>
      <w:r w:rsidR="007459FB">
        <w:t xml:space="preserve"> reaching out for support and guidance on the GAM</w:t>
      </w:r>
      <w:r w:rsidR="00E260CD">
        <w:t>;</w:t>
      </w:r>
      <w:r w:rsidR="00301A25">
        <w:t xml:space="preserve"> there were no “trained” GAM resource people or gender advisors involved</w:t>
      </w:r>
      <w:bookmarkStart w:id="1" w:name="_GoBack"/>
      <w:bookmarkEnd w:id="1"/>
      <w:r w:rsidR="007459FB">
        <w:t xml:space="preserve"> in-country</w:t>
      </w:r>
      <w:r w:rsidR="00301A25">
        <w:t>.  I</w:t>
      </w:r>
      <w:r w:rsidR="00E260CD">
        <w:t xml:space="preserve">t is also notable that there were </w:t>
      </w:r>
      <w:r w:rsidR="00A33E02">
        <w:t>very few transcription errors when entering codes into HPC</w:t>
      </w:r>
      <w:r w:rsidR="006921E6">
        <w:t xml:space="preserve">.  There may still be a misperception </w:t>
      </w:r>
      <w:r w:rsidR="00594491">
        <w:t>that a “targeted action” (T) is somehow better than a project that mainstreams gender</w:t>
      </w:r>
      <w:r w:rsidR="006921E6">
        <w:t xml:space="preserve"> (M) as </w:t>
      </w:r>
      <w:r w:rsidR="00E260CD">
        <w:t>six</w:t>
      </w:r>
      <w:r w:rsidR="006921E6">
        <w:t xml:space="preserve"> projects changed their code from </w:t>
      </w:r>
      <w:r w:rsidR="00E260CD">
        <w:t>(M) to (T</w:t>
      </w:r>
      <w:r w:rsidR="006921E6">
        <w:t>)</w:t>
      </w:r>
      <w:r w:rsidR="009A68C7">
        <w:t xml:space="preserve"> when entering it in HPC tools</w:t>
      </w:r>
      <w:r w:rsidR="003A2180">
        <w:t xml:space="preserve">; </w:t>
      </w:r>
      <w:r w:rsidR="007A1489">
        <w:t xml:space="preserve">only </w:t>
      </w:r>
      <w:r w:rsidR="003A2180">
        <w:t>two</w:t>
      </w:r>
      <w:r w:rsidR="006921E6">
        <w:t xml:space="preserve"> project</w:t>
      </w:r>
      <w:r w:rsidR="009A68C7">
        <w:t>s</w:t>
      </w:r>
      <w:r w:rsidR="00594491">
        <w:t xml:space="preserve"> “upgraded” their code from </w:t>
      </w:r>
      <w:r w:rsidR="009A68C7">
        <w:t xml:space="preserve">3 </w:t>
      </w:r>
      <w:r w:rsidR="00594491">
        <w:t>to 4</w:t>
      </w:r>
      <w:r w:rsidR="003A2180">
        <w:t>.</w:t>
      </w:r>
      <w:r w:rsidR="00594491">
        <w:t xml:space="preserve"> </w:t>
      </w:r>
    </w:p>
    <w:bookmarkEnd w:id="0"/>
    <w:p w14:paraId="089C9782" w14:textId="41D04459" w:rsidR="00301A25" w:rsidRDefault="00301A25" w:rsidP="00301A25">
      <w:r w:rsidRPr="004E3377">
        <w:lastRenderedPageBreak/>
        <w:t xml:space="preserve">In addition to highlighting overall strong </w:t>
      </w:r>
      <w:r w:rsidR="003E770E">
        <w:t xml:space="preserve">desire to address specific needs of different groups in Libya, </w:t>
      </w:r>
      <w:r w:rsidRPr="004E3377">
        <w:t xml:space="preserve">the GAM also identifies areas and agencies where programming can be more responsive to gender- and age-related exclusion.  </w:t>
      </w:r>
      <w:r w:rsidR="003E770E">
        <w:t xml:space="preserve">There may be a </w:t>
      </w:r>
      <w:r w:rsidR="00757BC0">
        <w:t>need to support some clusters and organizations in developing a socio-economic (gender) context analysis and understanding its relevance to how assistance is designed and delivered, but it is also clear that there is strong capacity for this among several actors in-country.</w:t>
      </w:r>
    </w:p>
    <w:p w14:paraId="7A6D1ADC" w14:textId="62A39820" w:rsidR="00301A25" w:rsidRPr="004E3377" w:rsidRDefault="004E3377" w:rsidP="00301A25">
      <w:r w:rsidRPr="004E3377">
        <w:t xml:space="preserve">Users highlight that the GAM has drawn their attention to gender- and age-related concerns that might otherwise have been missed.   </w:t>
      </w:r>
      <w:r w:rsidR="00301A25" w:rsidRPr="004E3377">
        <w:t xml:space="preserve">Use of the IASC Gender with Age Marker by humanitarian actors in </w:t>
      </w:r>
      <w:r w:rsidR="00757BC0">
        <w:t>Libya</w:t>
      </w:r>
      <w:r w:rsidR="00301A25" w:rsidRPr="004E3377">
        <w:t xml:space="preserve"> shows a shift toward delivering aid at new and higher standards.  It is hoped that the support required for its ongoing use in project and program monitoring will be provided.</w:t>
      </w:r>
    </w:p>
    <w:p w14:paraId="46AC5272" w14:textId="77777777" w:rsidR="00301A25" w:rsidRPr="00301A25" w:rsidRDefault="00301A25" w:rsidP="00301A25">
      <w:pPr>
        <w:rPr>
          <w:i/>
          <w:iCs/>
        </w:rPr>
      </w:pPr>
    </w:p>
    <w:p w14:paraId="03325033" w14:textId="77777777" w:rsidR="00594491" w:rsidRDefault="00594491"/>
    <w:sectPr w:rsidR="00594491">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3BC0" w14:textId="77777777" w:rsidR="00E578A6" w:rsidRDefault="00E578A6" w:rsidP="006D7F36">
      <w:pPr>
        <w:spacing w:after="0" w:line="240" w:lineRule="auto"/>
      </w:pPr>
      <w:r>
        <w:separator/>
      </w:r>
    </w:p>
  </w:endnote>
  <w:endnote w:type="continuationSeparator" w:id="0">
    <w:p w14:paraId="405BC065" w14:textId="77777777" w:rsidR="00E578A6" w:rsidRDefault="00E578A6" w:rsidP="006D7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4990296"/>
      <w:docPartObj>
        <w:docPartGallery w:val="Page Numbers (Bottom of Page)"/>
        <w:docPartUnique/>
      </w:docPartObj>
    </w:sdtPr>
    <w:sdtEndPr>
      <w:rPr>
        <w:noProof/>
      </w:rPr>
    </w:sdtEndPr>
    <w:sdtContent>
      <w:p w14:paraId="73BEE4C6" w14:textId="36729696" w:rsidR="00757BC0" w:rsidRDefault="00757BC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EBA378" w14:textId="77777777" w:rsidR="00757BC0" w:rsidRDefault="00757B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F62D2" w14:textId="77777777" w:rsidR="00E578A6" w:rsidRDefault="00E578A6" w:rsidP="006D7F36">
      <w:pPr>
        <w:spacing w:after="0" w:line="240" w:lineRule="auto"/>
      </w:pPr>
      <w:r>
        <w:separator/>
      </w:r>
    </w:p>
  </w:footnote>
  <w:footnote w:type="continuationSeparator" w:id="0">
    <w:p w14:paraId="09C016F1" w14:textId="77777777" w:rsidR="00E578A6" w:rsidRDefault="00E578A6" w:rsidP="006D7F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E33C01"/>
    <w:multiLevelType w:val="hybridMultilevel"/>
    <w:tmpl w:val="46827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491"/>
    <w:rsid w:val="0009089B"/>
    <w:rsid w:val="000917B2"/>
    <w:rsid w:val="000E04DC"/>
    <w:rsid w:val="000E6471"/>
    <w:rsid w:val="000F71B3"/>
    <w:rsid w:val="00201F88"/>
    <w:rsid w:val="00220EB6"/>
    <w:rsid w:val="002B710B"/>
    <w:rsid w:val="00301A25"/>
    <w:rsid w:val="0030400E"/>
    <w:rsid w:val="00317B09"/>
    <w:rsid w:val="00356F2F"/>
    <w:rsid w:val="00363C02"/>
    <w:rsid w:val="003928AE"/>
    <w:rsid w:val="003A2180"/>
    <w:rsid w:val="003E770E"/>
    <w:rsid w:val="00442BE4"/>
    <w:rsid w:val="004639CE"/>
    <w:rsid w:val="0047076F"/>
    <w:rsid w:val="00483404"/>
    <w:rsid w:val="004956A4"/>
    <w:rsid w:val="004D0417"/>
    <w:rsid w:val="004E3377"/>
    <w:rsid w:val="004E68B8"/>
    <w:rsid w:val="005217EA"/>
    <w:rsid w:val="00531529"/>
    <w:rsid w:val="005700B5"/>
    <w:rsid w:val="00570C59"/>
    <w:rsid w:val="00586073"/>
    <w:rsid w:val="005937BC"/>
    <w:rsid w:val="00594491"/>
    <w:rsid w:val="005C55EA"/>
    <w:rsid w:val="005C5B41"/>
    <w:rsid w:val="005D2B73"/>
    <w:rsid w:val="00667030"/>
    <w:rsid w:val="00673632"/>
    <w:rsid w:val="006921E6"/>
    <w:rsid w:val="006B4A00"/>
    <w:rsid w:val="006D7F36"/>
    <w:rsid w:val="006E1028"/>
    <w:rsid w:val="006F3DA4"/>
    <w:rsid w:val="00737393"/>
    <w:rsid w:val="007459FB"/>
    <w:rsid w:val="00757BC0"/>
    <w:rsid w:val="007A1489"/>
    <w:rsid w:val="00812DC6"/>
    <w:rsid w:val="00867F8B"/>
    <w:rsid w:val="008D2CB3"/>
    <w:rsid w:val="009200E7"/>
    <w:rsid w:val="0092146C"/>
    <w:rsid w:val="0095317F"/>
    <w:rsid w:val="00982A60"/>
    <w:rsid w:val="00993D89"/>
    <w:rsid w:val="009A68C7"/>
    <w:rsid w:val="009C3706"/>
    <w:rsid w:val="00A33E02"/>
    <w:rsid w:val="00A524F8"/>
    <w:rsid w:val="00A66877"/>
    <w:rsid w:val="00AF3131"/>
    <w:rsid w:val="00AF7F94"/>
    <w:rsid w:val="00BB22AA"/>
    <w:rsid w:val="00CB488F"/>
    <w:rsid w:val="00D40542"/>
    <w:rsid w:val="00D53A68"/>
    <w:rsid w:val="00D97758"/>
    <w:rsid w:val="00DA72CC"/>
    <w:rsid w:val="00DE5E68"/>
    <w:rsid w:val="00E260CD"/>
    <w:rsid w:val="00E578A6"/>
    <w:rsid w:val="00EA3D99"/>
    <w:rsid w:val="00EF3A9D"/>
    <w:rsid w:val="00F04E8E"/>
    <w:rsid w:val="00F50C8A"/>
    <w:rsid w:val="00F81950"/>
    <w:rsid w:val="00F82B63"/>
    <w:rsid w:val="00FC03A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3DC965"/>
  <w15:chartTrackingRefBased/>
  <w15:docId w15:val="{81C6C713-CDFA-42CA-99B3-DEF9F5FE8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4491"/>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F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F36"/>
    <w:rPr>
      <w:rFonts w:eastAsiaTheme="minorHAnsi"/>
      <w:lang w:eastAsia="en-US"/>
    </w:rPr>
  </w:style>
  <w:style w:type="paragraph" w:styleId="Footer">
    <w:name w:val="footer"/>
    <w:basedOn w:val="Normal"/>
    <w:link w:val="FooterChar"/>
    <w:uiPriority w:val="99"/>
    <w:unhideWhenUsed/>
    <w:rsid w:val="006D7F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F36"/>
    <w:rPr>
      <w:rFonts w:eastAsiaTheme="minorHAnsi"/>
      <w:lang w:eastAsia="en-US"/>
    </w:rPr>
  </w:style>
  <w:style w:type="paragraph" w:styleId="ListParagraph">
    <w:name w:val="List Paragraph"/>
    <w:basedOn w:val="Normal"/>
    <w:uiPriority w:val="34"/>
    <w:qFormat/>
    <w:rsid w:val="004639CE"/>
    <w:pPr>
      <w:ind w:left="720"/>
      <w:contextualSpacing/>
    </w:pPr>
  </w:style>
  <w:style w:type="paragraph" w:styleId="BalloonText">
    <w:name w:val="Balloon Text"/>
    <w:basedOn w:val="Normal"/>
    <w:link w:val="BalloonTextChar"/>
    <w:uiPriority w:val="99"/>
    <w:semiHidden/>
    <w:unhideWhenUsed/>
    <w:rsid w:val="004639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9CE"/>
    <w:rPr>
      <w:rFonts w:ascii="Segoe UI" w:eastAsiaTheme="minorHAnsi" w:hAnsi="Segoe UI" w:cs="Segoe UI"/>
      <w:sz w:val="18"/>
      <w:szCs w:val="18"/>
      <w:lang w:eastAsia="en-US"/>
    </w:rPr>
  </w:style>
  <w:style w:type="character" w:styleId="CommentReference">
    <w:name w:val="annotation reference"/>
    <w:basedOn w:val="DefaultParagraphFont"/>
    <w:uiPriority w:val="99"/>
    <w:semiHidden/>
    <w:unhideWhenUsed/>
    <w:rsid w:val="005D2B73"/>
    <w:rPr>
      <w:sz w:val="16"/>
      <w:szCs w:val="16"/>
    </w:rPr>
  </w:style>
  <w:style w:type="paragraph" w:styleId="CommentText">
    <w:name w:val="annotation text"/>
    <w:basedOn w:val="Normal"/>
    <w:link w:val="CommentTextChar"/>
    <w:uiPriority w:val="99"/>
    <w:semiHidden/>
    <w:unhideWhenUsed/>
    <w:rsid w:val="005D2B73"/>
    <w:pPr>
      <w:spacing w:line="240" w:lineRule="auto"/>
    </w:pPr>
    <w:rPr>
      <w:sz w:val="20"/>
      <w:szCs w:val="20"/>
    </w:rPr>
  </w:style>
  <w:style w:type="character" w:customStyle="1" w:styleId="CommentTextChar">
    <w:name w:val="Comment Text Char"/>
    <w:basedOn w:val="DefaultParagraphFont"/>
    <w:link w:val="CommentText"/>
    <w:uiPriority w:val="99"/>
    <w:semiHidden/>
    <w:rsid w:val="005D2B73"/>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5D2B73"/>
    <w:rPr>
      <w:b/>
      <w:bCs/>
    </w:rPr>
  </w:style>
  <w:style w:type="character" w:customStyle="1" w:styleId="CommentSubjectChar">
    <w:name w:val="Comment Subject Char"/>
    <w:basedOn w:val="CommentTextChar"/>
    <w:link w:val="CommentSubject"/>
    <w:uiPriority w:val="99"/>
    <w:semiHidden/>
    <w:rsid w:val="005D2B73"/>
    <w:rPr>
      <w:rFonts w:eastAsiaTheme="minorHAns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Clifton</dc:creator>
  <cp:keywords/>
  <dc:description/>
  <cp:lastModifiedBy>Deborah Clifton</cp:lastModifiedBy>
  <cp:revision>3</cp:revision>
  <dcterms:created xsi:type="dcterms:W3CDTF">2018-12-03T11:29:00Z</dcterms:created>
  <dcterms:modified xsi:type="dcterms:W3CDTF">2018-12-03T11:37:00Z</dcterms:modified>
</cp:coreProperties>
</file>