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22" w:rsidRDefault="00AD6122" w:rsidP="00AD6122">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r w:rsidRPr="004A150D">
        <w:rPr>
          <w:b/>
          <w:bCs/>
          <w:noProof/>
          <w:color w:val="659941"/>
          <w:sz w:val="32"/>
          <w:szCs w:val="32"/>
        </w:rPr>
        <w:drawing>
          <wp:anchor distT="0" distB="0" distL="114300" distR="114300" simplePos="0" relativeHeight="251659264" behindDoc="0" locked="0" layoutInCell="1" allowOverlap="1" wp14:anchorId="37BBA501" wp14:editId="34B5DF85">
            <wp:simplePos x="0" y="0"/>
            <wp:positionH relativeFrom="column">
              <wp:posOffset>1638300</wp:posOffset>
            </wp:positionH>
            <wp:positionV relativeFrom="paragraph">
              <wp:posOffset>1527810</wp:posOffset>
            </wp:positionV>
            <wp:extent cx="2663825" cy="97155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_logo_simple.png"/>
                    <pic:cNvPicPr/>
                  </pic:nvPicPr>
                  <pic:blipFill>
                    <a:blip r:embed="rId6">
                      <a:extLst>
                        <a:ext uri="{28A0092B-C50C-407E-A947-70E740481C1C}">
                          <a14:useLocalDpi xmlns:a14="http://schemas.microsoft.com/office/drawing/2010/main" val="0"/>
                        </a:ext>
                      </a:extLst>
                    </a:blip>
                    <a:stretch>
                      <a:fillRect/>
                    </a:stretch>
                  </pic:blipFill>
                  <pic:spPr>
                    <a:xfrm>
                      <a:off x="0" y="0"/>
                      <a:ext cx="2663825" cy="971550"/>
                    </a:xfrm>
                    <a:prstGeom prst="rect">
                      <a:avLst/>
                    </a:prstGeom>
                  </pic:spPr>
                </pic:pic>
              </a:graphicData>
            </a:graphic>
            <wp14:sizeRelH relativeFrom="margin">
              <wp14:pctWidth>0</wp14:pctWidth>
            </wp14:sizeRelH>
            <wp14:sizeRelV relativeFrom="margin">
              <wp14:pctHeight>0</wp14:pctHeight>
            </wp14:sizeRelV>
          </wp:anchor>
        </w:drawing>
      </w: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jc w:val="center"/>
        <w:rPr>
          <w:rFonts w:ascii="Arial-BoldMT" w:hAnsi="Arial-BoldMT" w:cs="Arial-BoldMT"/>
          <w:b/>
          <w:bCs/>
          <w:color w:val="609340"/>
          <w:sz w:val="64"/>
          <w:szCs w:val="64"/>
        </w:rPr>
      </w:pPr>
      <w:r>
        <w:rPr>
          <w:rFonts w:ascii="Arial-BoldMT" w:hAnsi="Arial-BoldMT" w:cs="Arial-BoldMT"/>
          <w:b/>
          <w:bCs/>
          <w:color w:val="609340"/>
          <w:sz w:val="64"/>
          <w:szCs w:val="64"/>
        </w:rPr>
        <w:t xml:space="preserve">Design Results – </w:t>
      </w:r>
      <w:r w:rsidR="00274107">
        <w:rPr>
          <w:rFonts w:ascii="Arial-BoldMT" w:hAnsi="Arial-BoldMT" w:cs="Arial-BoldMT"/>
          <w:b/>
          <w:bCs/>
          <w:color w:val="609340"/>
          <w:sz w:val="64"/>
          <w:szCs w:val="64"/>
        </w:rPr>
        <w:t>South Sudan</w:t>
      </w:r>
    </w:p>
    <w:p w:rsidR="003B69FE" w:rsidRDefault="003B69FE" w:rsidP="003B69FE"/>
    <w:p w:rsidR="003B69FE" w:rsidRDefault="003B69FE" w:rsidP="003B69FE"/>
    <w:p w:rsidR="00E504E2" w:rsidRDefault="00E504E2">
      <w:r>
        <w:br w:type="page"/>
      </w:r>
    </w:p>
    <w:p w:rsidR="00E504E2" w:rsidRDefault="00E504E2" w:rsidP="003B69FE">
      <w:pPr>
        <w:rPr>
          <w:rFonts w:ascii="Calibri-Bold" w:hAnsi="Calibri-Bold" w:cs="Calibri-Bold"/>
          <w:b/>
          <w:bCs/>
          <w:sz w:val="72"/>
          <w:szCs w:val="72"/>
        </w:rPr>
      </w:pPr>
      <w:r>
        <w:rPr>
          <w:rFonts w:ascii="Calibri-Bold" w:hAnsi="Calibri-Bold" w:cs="Calibri-Bold"/>
          <w:b/>
          <w:bCs/>
          <w:sz w:val="72"/>
          <w:szCs w:val="72"/>
        </w:rPr>
        <w:lastRenderedPageBreak/>
        <w:t>Overview</w:t>
      </w:r>
    </w:p>
    <w:p w:rsidR="009A7B75" w:rsidRDefault="009A7B75" w:rsidP="003B69FE">
      <w:pPr>
        <w:rPr>
          <w:rFonts w:ascii="Calibri-Bold" w:hAnsi="Calibri-Bold" w:cs="Calibri-Bold"/>
          <w:b/>
          <w:bCs/>
          <w:sz w:val="72"/>
          <w:szCs w:val="72"/>
        </w:rPr>
      </w:pPr>
    </w:p>
    <w:p w:rsidR="00A664AB" w:rsidRDefault="00F91A45" w:rsidP="003B69FE">
      <w:r>
        <w:t>19%</w:t>
      </w:r>
      <w:r w:rsidR="00A664AB">
        <w:t xml:space="preserve"> (74/396)</w:t>
      </w:r>
      <w:r w:rsidR="009A7B75">
        <w:t xml:space="preserve"> of </w:t>
      </w:r>
      <w:r>
        <w:t xml:space="preserve">South Sudan </w:t>
      </w:r>
      <w:r w:rsidR="00A664AB">
        <w:t xml:space="preserve">projects </w:t>
      </w:r>
      <w:r w:rsidR="009A7B75">
        <w:t>approved in the 2019 HPC completed the Gender with Age Marker</w:t>
      </w:r>
      <w:r w:rsidR="00A664AB">
        <w:t xml:space="preserve">.   </w:t>
      </w:r>
    </w:p>
    <w:p w:rsidR="00A664AB" w:rsidRDefault="00A664AB" w:rsidP="003B69FE">
      <w:r>
        <w:t xml:space="preserve">Compared to other countries, the GAM completion rate for South Sudan is low, but not particularly surprising in the first year of use.    The lack of use by UN Agencies is </w:t>
      </w:r>
      <w:r w:rsidR="00BB331D">
        <w:t xml:space="preserve">somewhat </w:t>
      </w:r>
      <w:r>
        <w:t xml:space="preserve">disappointing: </w:t>
      </w:r>
      <w:r w:rsidR="00982D19">
        <w:t xml:space="preserve">only </w:t>
      </w:r>
      <w:r>
        <w:t>five IOM projects and one WHO</w:t>
      </w:r>
      <w:r w:rsidR="00BB331D">
        <w:t xml:space="preserve"> project </w:t>
      </w:r>
      <w:r w:rsidR="008F46FA">
        <w:t>applied</w:t>
      </w:r>
      <w:r w:rsidR="00982D19">
        <w:t xml:space="preserve"> the GAM</w:t>
      </w:r>
      <w:r w:rsidR="00BB331D">
        <w:t xml:space="preserve">.  </w:t>
      </w:r>
      <w:r w:rsidR="00982D19">
        <w:t xml:space="preserve">Projects approved for </w:t>
      </w:r>
      <w:r w:rsidR="00BB331D">
        <w:t xml:space="preserve">FAO, UNICEF, UNDSS, UNMAS, UNHCR, UNOPS, UNFPA and WFP did not </w:t>
      </w:r>
      <w:r w:rsidR="00982D19">
        <w:t>apply</w:t>
      </w:r>
      <w:r w:rsidR="00BB331D">
        <w:t xml:space="preserve"> the GAM.</w:t>
      </w:r>
    </w:p>
    <w:p w:rsidR="005327C5" w:rsidRDefault="005327C5" w:rsidP="003B69FE">
      <w:r>
        <w:t>Sample GAM Completion Rates (</w:t>
      </w:r>
      <w:r w:rsidR="008F46FA">
        <w:t xml:space="preserve">at </w:t>
      </w:r>
      <w:r>
        <w:t xml:space="preserve">Feb </w:t>
      </w:r>
      <w:r w:rsidR="008F46FA">
        <w:t xml:space="preserve">1, </w:t>
      </w:r>
      <w:r>
        <w:t>2019)</w:t>
      </w:r>
    </w:p>
    <w:tbl>
      <w:tblPr>
        <w:tblStyle w:val="TableGrid"/>
        <w:tblW w:w="9493" w:type="dxa"/>
        <w:tblLayout w:type="fixed"/>
        <w:tblLook w:val="04A0" w:firstRow="1" w:lastRow="0" w:firstColumn="1" w:lastColumn="0" w:noHBand="0" w:noVBand="1"/>
      </w:tblPr>
      <w:tblGrid>
        <w:gridCol w:w="1696"/>
        <w:gridCol w:w="1113"/>
        <w:gridCol w:w="1114"/>
        <w:gridCol w:w="1114"/>
        <w:gridCol w:w="1114"/>
        <w:gridCol w:w="1114"/>
        <w:gridCol w:w="1114"/>
        <w:gridCol w:w="1114"/>
      </w:tblGrid>
      <w:tr w:rsidR="005327C5" w:rsidRPr="005327C5" w:rsidTr="005327C5">
        <w:trPr>
          <w:trHeight w:val="300"/>
        </w:trPr>
        <w:tc>
          <w:tcPr>
            <w:tcW w:w="1696" w:type="dxa"/>
            <w:shd w:val="clear" w:color="auto" w:fill="D9E2F3" w:themeFill="accent1" w:themeFillTint="33"/>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 </w:t>
            </w:r>
          </w:p>
        </w:tc>
        <w:tc>
          <w:tcPr>
            <w:tcW w:w="1113" w:type="dxa"/>
            <w:shd w:val="clear" w:color="auto" w:fill="D9E2F3" w:themeFill="accent1" w:themeFillTint="33"/>
            <w:noWrap/>
            <w:hideMark/>
          </w:tcPr>
          <w:p w:rsidR="005327C5" w:rsidRPr="005327C5" w:rsidRDefault="005327C5" w:rsidP="005327C5">
            <w:pPr>
              <w:rPr>
                <w:rFonts w:ascii="Calibri" w:eastAsia="Times New Roman" w:hAnsi="Calibri" w:cs="Calibri"/>
                <w:color w:val="000000"/>
              </w:rPr>
            </w:pPr>
            <w:r w:rsidRPr="005327C5">
              <w:rPr>
                <w:rFonts w:ascii="Calibri" w:eastAsia="Times New Roman" w:hAnsi="Calibri" w:cs="Calibri"/>
                <w:color w:val="000000"/>
              </w:rPr>
              <w:t>South Sudan</w:t>
            </w:r>
          </w:p>
        </w:tc>
        <w:tc>
          <w:tcPr>
            <w:tcW w:w="1114" w:type="dxa"/>
            <w:shd w:val="clear" w:color="auto" w:fill="D9E2F3" w:themeFill="accent1" w:themeFillTint="33"/>
            <w:noWrap/>
            <w:hideMark/>
          </w:tcPr>
          <w:p w:rsidR="005327C5" w:rsidRPr="005327C5" w:rsidRDefault="005327C5" w:rsidP="005327C5">
            <w:pPr>
              <w:rPr>
                <w:rFonts w:ascii="Calibri" w:eastAsia="Times New Roman" w:hAnsi="Calibri" w:cs="Calibri"/>
                <w:color w:val="000000"/>
              </w:rPr>
            </w:pPr>
            <w:r w:rsidRPr="005327C5">
              <w:rPr>
                <w:rFonts w:ascii="Calibri" w:eastAsia="Times New Roman" w:hAnsi="Calibri" w:cs="Calibri"/>
                <w:color w:val="000000"/>
              </w:rPr>
              <w:t>Iraq</w:t>
            </w:r>
          </w:p>
        </w:tc>
        <w:tc>
          <w:tcPr>
            <w:tcW w:w="1114" w:type="dxa"/>
            <w:shd w:val="clear" w:color="auto" w:fill="D9E2F3" w:themeFill="accent1" w:themeFillTint="33"/>
            <w:noWrap/>
            <w:hideMark/>
          </w:tcPr>
          <w:p w:rsidR="005327C5" w:rsidRPr="005327C5" w:rsidRDefault="005327C5" w:rsidP="005327C5">
            <w:pPr>
              <w:rPr>
                <w:rFonts w:ascii="Calibri" w:eastAsia="Times New Roman" w:hAnsi="Calibri" w:cs="Calibri"/>
                <w:color w:val="000000"/>
              </w:rPr>
            </w:pPr>
            <w:r w:rsidRPr="005327C5">
              <w:rPr>
                <w:rFonts w:ascii="Calibri" w:eastAsia="Times New Roman" w:hAnsi="Calibri" w:cs="Calibri"/>
                <w:color w:val="000000"/>
              </w:rPr>
              <w:t>Ukraine</w:t>
            </w:r>
          </w:p>
        </w:tc>
        <w:tc>
          <w:tcPr>
            <w:tcW w:w="1114" w:type="dxa"/>
            <w:shd w:val="clear" w:color="auto" w:fill="D9E2F3" w:themeFill="accent1" w:themeFillTint="33"/>
            <w:noWrap/>
            <w:hideMark/>
          </w:tcPr>
          <w:p w:rsidR="005327C5" w:rsidRPr="005327C5" w:rsidRDefault="005327C5" w:rsidP="005327C5">
            <w:pPr>
              <w:rPr>
                <w:rFonts w:ascii="Calibri" w:eastAsia="Times New Roman" w:hAnsi="Calibri" w:cs="Calibri"/>
                <w:color w:val="000000"/>
              </w:rPr>
            </w:pPr>
            <w:r w:rsidRPr="005327C5">
              <w:rPr>
                <w:rFonts w:ascii="Calibri" w:eastAsia="Times New Roman" w:hAnsi="Calibri" w:cs="Calibri"/>
                <w:color w:val="000000"/>
              </w:rPr>
              <w:t>Libya</w:t>
            </w:r>
          </w:p>
        </w:tc>
        <w:tc>
          <w:tcPr>
            <w:tcW w:w="1114" w:type="dxa"/>
            <w:shd w:val="clear" w:color="auto" w:fill="D9E2F3" w:themeFill="accent1" w:themeFillTint="33"/>
            <w:noWrap/>
            <w:hideMark/>
          </w:tcPr>
          <w:p w:rsidR="005327C5" w:rsidRPr="005327C5" w:rsidRDefault="005327C5" w:rsidP="005327C5">
            <w:pPr>
              <w:rPr>
                <w:rFonts w:ascii="Calibri" w:eastAsia="Times New Roman" w:hAnsi="Calibri" w:cs="Calibri"/>
                <w:color w:val="000000"/>
              </w:rPr>
            </w:pPr>
            <w:r w:rsidRPr="005327C5">
              <w:rPr>
                <w:rFonts w:ascii="Calibri" w:eastAsia="Times New Roman" w:hAnsi="Calibri" w:cs="Calibri"/>
                <w:color w:val="000000"/>
              </w:rPr>
              <w:t>Palestine</w:t>
            </w:r>
          </w:p>
        </w:tc>
        <w:tc>
          <w:tcPr>
            <w:tcW w:w="1114" w:type="dxa"/>
            <w:shd w:val="clear" w:color="auto" w:fill="D9E2F3" w:themeFill="accent1" w:themeFillTint="33"/>
            <w:noWrap/>
            <w:hideMark/>
          </w:tcPr>
          <w:p w:rsidR="005327C5" w:rsidRPr="005327C5" w:rsidRDefault="005327C5" w:rsidP="005327C5">
            <w:pPr>
              <w:rPr>
                <w:rFonts w:ascii="Calibri" w:eastAsia="Times New Roman" w:hAnsi="Calibri" w:cs="Calibri"/>
                <w:color w:val="000000"/>
              </w:rPr>
            </w:pPr>
            <w:r w:rsidRPr="005327C5">
              <w:rPr>
                <w:rFonts w:ascii="Calibri" w:eastAsia="Times New Roman" w:hAnsi="Calibri" w:cs="Calibri"/>
                <w:color w:val="000000"/>
              </w:rPr>
              <w:t>Somalia</w:t>
            </w:r>
          </w:p>
        </w:tc>
        <w:tc>
          <w:tcPr>
            <w:tcW w:w="1114" w:type="dxa"/>
            <w:shd w:val="clear" w:color="auto" w:fill="D9E2F3" w:themeFill="accent1" w:themeFillTint="33"/>
            <w:noWrap/>
            <w:hideMark/>
          </w:tcPr>
          <w:p w:rsidR="005327C5" w:rsidRPr="005327C5" w:rsidRDefault="005327C5" w:rsidP="005327C5">
            <w:pPr>
              <w:rPr>
                <w:rFonts w:ascii="Calibri" w:eastAsia="Times New Roman" w:hAnsi="Calibri" w:cs="Calibri"/>
                <w:color w:val="000000"/>
              </w:rPr>
            </w:pPr>
            <w:r w:rsidRPr="005327C5">
              <w:rPr>
                <w:rFonts w:ascii="Calibri" w:eastAsia="Times New Roman" w:hAnsi="Calibri" w:cs="Calibri"/>
                <w:color w:val="000000"/>
              </w:rPr>
              <w:t>Nigeria</w:t>
            </w:r>
          </w:p>
        </w:tc>
      </w:tr>
      <w:tr w:rsidR="005327C5" w:rsidRPr="005327C5" w:rsidTr="005327C5">
        <w:trPr>
          <w:trHeight w:val="600"/>
        </w:trPr>
        <w:tc>
          <w:tcPr>
            <w:tcW w:w="1696" w:type="dxa"/>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HPC Projects</w:t>
            </w:r>
            <w:r w:rsidRPr="005327C5">
              <w:rPr>
                <w:rFonts w:ascii="Calibri" w:eastAsia="Times New Roman" w:hAnsi="Calibri" w:cs="Calibri"/>
                <w:b/>
                <w:bCs/>
                <w:color w:val="000000"/>
              </w:rPr>
              <w:br/>
              <w:t>Approved</w:t>
            </w:r>
          </w:p>
        </w:tc>
        <w:tc>
          <w:tcPr>
            <w:tcW w:w="1113" w:type="dxa"/>
            <w:noWrap/>
            <w:hideMark/>
          </w:tcPr>
          <w:p w:rsidR="005327C5" w:rsidRPr="005327C5" w:rsidRDefault="00D20CE4" w:rsidP="005327C5">
            <w:pPr>
              <w:jc w:val="center"/>
              <w:rPr>
                <w:rFonts w:ascii="Calibri" w:eastAsia="Times New Roman" w:hAnsi="Calibri" w:cs="Calibri"/>
                <w:color w:val="000000"/>
              </w:rPr>
            </w:pPr>
            <w:r>
              <w:rPr>
                <w:rFonts w:ascii="Calibri" w:eastAsia="Times New Roman" w:hAnsi="Calibri" w:cs="Calibri"/>
                <w:color w:val="000000"/>
              </w:rPr>
              <w:t>396</w:t>
            </w:r>
            <w:bookmarkStart w:id="0" w:name="_GoBack"/>
            <w:bookmarkEnd w:id="0"/>
          </w:p>
        </w:tc>
        <w:tc>
          <w:tcPr>
            <w:tcW w:w="1114" w:type="dxa"/>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193</w:t>
            </w:r>
          </w:p>
        </w:tc>
        <w:tc>
          <w:tcPr>
            <w:tcW w:w="1114" w:type="dxa"/>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97</w:t>
            </w:r>
          </w:p>
        </w:tc>
        <w:tc>
          <w:tcPr>
            <w:tcW w:w="1114" w:type="dxa"/>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68</w:t>
            </w:r>
          </w:p>
        </w:tc>
        <w:tc>
          <w:tcPr>
            <w:tcW w:w="1114" w:type="dxa"/>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200</w:t>
            </w:r>
          </w:p>
        </w:tc>
        <w:tc>
          <w:tcPr>
            <w:tcW w:w="1114" w:type="dxa"/>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386</w:t>
            </w:r>
          </w:p>
        </w:tc>
        <w:tc>
          <w:tcPr>
            <w:tcW w:w="1114" w:type="dxa"/>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169</w:t>
            </w:r>
          </w:p>
        </w:tc>
      </w:tr>
      <w:tr w:rsidR="005327C5" w:rsidRPr="005327C5" w:rsidTr="005327C5">
        <w:trPr>
          <w:trHeight w:val="300"/>
        </w:trPr>
        <w:tc>
          <w:tcPr>
            <w:tcW w:w="1696" w:type="dxa"/>
            <w:shd w:val="clear" w:color="auto" w:fill="D9E2F3" w:themeFill="accent1" w:themeFillTint="33"/>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 with GAM</w:t>
            </w:r>
          </w:p>
        </w:tc>
        <w:tc>
          <w:tcPr>
            <w:tcW w:w="1113" w:type="dxa"/>
            <w:shd w:val="clear" w:color="auto" w:fill="D9E2F3" w:themeFill="accent1" w:themeFillTint="33"/>
            <w:noWrap/>
            <w:hideMark/>
          </w:tcPr>
          <w:p w:rsidR="005327C5" w:rsidRPr="005327C5" w:rsidRDefault="008A2098" w:rsidP="005327C5">
            <w:pPr>
              <w:jc w:val="center"/>
              <w:rPr>
                <w:rFonts w:ascii="Calibri" w:eastAsia="Times New Roman" w:hAnsi="Calibri" w:cs="Calibri"/>
                <w:color w:val="000000"/>
              </w:rPr>
            </w:pPr>
            <w:r>
              <w:rPr>
                <w:rFonts w:ascii="Calibri" w:eastAsia="Times New Roman" w:hAnsi="Calibri" w:cs="Calibri"/>
                <w:color w:val="000000"/>
              </w:rPr>
              <w:t>19</w:t>
            </w:r>
            <w:r w:rsidR="005327C5" w:rsidRPr="005327C5">
              <w:rPr>
                <w:rFonts w:ascii="Calibri" w:eastAsia="Times New Roman" w:hAnsi="Calibri" w:cs="Calibri"/>
                <w:color w:val="000000"/>
              </w:rPr>
              <w:t>%</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68%</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76%</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75%</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79%</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25%</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26%</w:t>
            </w:r>
          </w:p>
        </w:tc>
      </w:tr>
    </w:tbl>
    <w:p w:rsidR="005327C5" w:rsidRDefault="005327C5" w:rsidP="003B69FE"/>
    <w:p w:rsidR="004708F5" w:rsidRDefault="004708F5" w:rsidP="003B69FE"/>
    <w:p w:rsidR="00A664AB" w:rsidRDefault="00BB331D" w:rsidP="003B69FE">
      <w:r>
        <w:rPr>
          <w:noProof/>
        </w:rPr>
        <w:drawing>
          <wp:anchor distT="0" distB="0" distL="114300" distR="114300" simplePos="0" relativeHeight="251660288" behindDoc="0" locked="0" layoutInCell="1" allowOverlap="1" wp14:anchorId="4990F2B5">
            <wp:simplePos x="0" y="0"/>
            <wp:positionH relativeFrom="column">
              <wp:posOffset>3478530</wp:posOffset>
            </wp:positionH>
            <wp:positionV relativeFrom="paragraph">
              <wp:posOffset>285750</wp:posOffset>
            </wp:positionV>
            <wp:extent cx="2686050" cy="20193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2019300"/>
                    </a:xfrm>
                    <a:prstGeom prst="rect">
                      <a:avLst/>
                    </a:prstGeom>
                    <a:noFill/>
                  </pic:spPr>
                </pic:pic>
              </a:graphicData>
            </a:graphic>
            <wp14:sizeRelV relativeFrom="margin">
              <wp14:pctHeight>0</wp14:pctHeight>
            </wp14:sizeRelV>
          </wp:anchor>
        </w:drawing>
      </w:r>
    </w:p>
    <w:p w:rsidR="009A7B75" w:rsidRDefault="005327C5" w:rsidP="003B69FE">
      <w:r>
        <w:t xml:space="preserve">South Sudan </w:t>
      </w:r>
      <w:r w:rsidR="009A7B75">
        <w:t>GAM information summarized here demonstrates considerable attention to gender- and age-related issues in the project design phase</w:t>
      </w:r>
      <w:r w:rsidR="00A664AB">
        <w:t>, by those project</w:t>
      </w:r>
      <w:r w:rsidR="009462AC">
        <w:t xml:space="preserve"> holders</w:t>
      </w:r>
      <w:r w:rsidR="00A664AB">
        <w:t xml:space="preserve"> using the tool</w:t>
      </w:r>
      <w:r w:rsidR="009A7B75">
        <w:t xml:space="preserve">. </w:t>
      </w:r>
    </w:p>
    <w:p w:rsidR="009A7B75" w:rsidRDefault="00F91A45" w:rsidP="009A7B75">
      <w:pPr>
        <w:ind w:right="110"/>
      </w:pPr>
      <w:r>
        <w:t xml:space="preserve">Of the 74 projects applying the GAM, </w:t>
      </w:r>
      <w:r w:rsidR="00914FD8">
        <w:t>at 84%</w:t>
      </w:r>
      <w:r w:rsidR="009A7B75">
        <w:t xml:space="preserve"> </w:t>
      </w:r>
      <w:r w:rsidR="00914FD8">
        <w:t>(6</w:t>
      </w:r>
      <w:r w:rsidR="00A664AB">
        <w:t>6</w:t>
      </w:r>
      <w:r w:rsidR="009A7B75">
        <w:t xml:space="preserve"> projects</w:t>
      </w:r>
      <w:r w:rsidR="00914FD8">
        <w:t>)</w:t>
      </w:r>
      <w:r w:rsidR="009A7B75">
        <w:t xml:space="preserve"> </w:t>
      </w:r>
      <w:r w:rsidR="00A664AB">
        <w:t>plan to respond to</w:t>
      </w:r>
      <w:r w:rsidR="009A7B75">
        <w:t xml:space="preserve"> </w:t>
      </w:r>
      <w:r w:rsidR="00A664AB">
        <w:t xml:space="preserve">both </w:t>
      </w:r>
      <w:r w:rsidR="009A7B75">
        <w:t>gender</w:t>
      </w:r>
      <w:r w:rsidR="00A664AB">
        <w:t xml:space="preserve"> and age</w:t>
      </w:r>
      <w:r w:rsidR="009A7B75">
        <w:t xml:space="preserve"> differences (Code </w:t>
      </w:r>
      <w:r w:rsidR="00A664AB">
        <w:t>4</w:t>
      </w:r>
      <w:r w:rsidR="009A7B75">
        <w:t xml:space="preserve">) throughout their program, and </w:t>
      </w:r>
      <w:r w:rsidR="00A664AB">
        <w:t>an additional six intend to address gender.</w:t>
      </w:r>
      <w:r w:rsidR="009A7B75">
        <w:t xml:space="preserve">  </w:t>
      </w:r>
      <w:r w:rsidR="00A664AB">
        <w:t>There are only two projects that do not mainstream gender, and none for which gender differences are not applicable.</w:t>
      </w:r>
    </w:p>
    <w:p w:rsidR="00A664AB" w:rsidRDefault="00A664AB" w:rsidP="009A7B75">
      <w:pPr>
        <w:ind w:right="110"/>
        <w:rPr>
          <w:noProof/>
        </w:rPr>
      </w:pPr>
    </w:p>
    <w:p w:rsidR="00914FD8" w:rsidRDefault="00914FD8" w:rsidP="009A7B75">
      <w:pPr>
        <w:ind w:right="110"/>
      </w:pPr>
    </w:p>
    <w:p w:rsidR="00914FD8" w:rsidRDefault="00914FD8" w:rsidP="009A7B75">
      <w:pPr>
        <w:ind w:right="110"/>
      </w:pPr>
    </w:p>
    <w:p w:rsidR="000429B7" w:rsidRPr="000B6ABE" w:rsidRDefault="000429B7" w:rsidP="00E504E2"/>
    <w:p w:rsidR="005327C5" w:rsidRDefault="005327C5" w:rsidP="00565FBE"/>
    <w:p w:rsidR="005327C5" w:rsidRDefault="005327C5" w:rsidP="00565FBE">
      <w:r>
        <w:rPr>
          <w:i/>
          <w:iCs/>
          <w:noProof/>
        </w:rPr>
        <w:lastRenderedPageBreak/>
        <w:drawing>
          <wp:anchor distT="0" distB="0" distL="114300" distR="114300" simplePos="0" relativeHeight="251666432" behindDoc="0" locked="0" layoutInCell="1" allowOverlap="1" wp14:anchorId="45B0ABAF">
            <wp:simplePos x="0" y="0"/>
            <wp:positionH relativeFrom="column">
              <wp:posOffset>3371850</wp:posOffset>
            </wp:positionH>
            <wp:positionV relativeFrom="paragraph">
              <wp:posOffset>114300</wp:posOffset>
            </wp:positionV>
            <wp:extent cx="2714625" cy="19685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1968500"/>
                    </a:xfrm>
                    <a:prstGeom prst="rect">
                      <a:avLst/>
                    </a:prstGeom>
                    <a:noFill/>
                  </pic:spPr>
                </pic:pic>
              </a:graphicData>
            </a:graphic>
            <wp14:sizeRelH relativeFrom="margin">
              <wp14:pctWidth>0</wp14:pctWidth>
            </wp14:sizeRelH>
            <wp14:sizeRelV relativeFrom="margin">
              <wp14:pctHeight>0</wp14:pctHeight>
            </wp14:sizeRelV>
          </wp:anchor>
        </w:drawing>
      </w:r>
    </w:p>
    <w:p w:rsidR="00565FBE" w:rsidRDefault="00E504E2" w:rsidP="00565FBE">
      <w:r>
        <w:t>The GAM asks users to consider four program</w:t>
      </w:r>
      <w:r w:rsidR="00565FBE">
        <w:t xml:space="preserve"> </w:t>
      </w:r>
      <w:r>
        <w:t>elements in project design:  analysis, activities, participation and benefits</w:t>
      </w:r>
      <w:r w:rsidRPr="00BB22AA">
        <w:rPr>
          <w:i/>
          <w:iCs/>
        </w:rPr>
        <w:t>.</w:t>
      </w:r>
      <w:r w:rsidRPr="00BB22AA">
        <w:t xml:space="preserve">  </w:t>
      </w:r>
    </w:p>
    <w:p w:rsidR="000B6ABE" w:rsidRDefault="00E504E2" w:rsidP="00565FBE">
      <w:r w:rsidRPr="00BB22AA">
        <w:t xml:space="preserve">In </w:t>
      </w:r>
      <w:proofErr w:type="gramStart"/>
      <w:r w:rsidRPr="00BB22AA">
        <w:t>ALL of</w:t>
      </w:r>
      <w:proofErr w:type="gramEnd"/>
      <w:r w:rsidRPr="00BB22AA">
        <w:t xml:space="preserve"> these areas, at least </w:t>
      </w:r>
      <w:r w:rsidR="00914FD8">
        <w:t>84</w:t>
      </w:r>
      <w:r w:rsidRPr="00BB22AA">
        <w:t>% of projects show intention to address gender and age differences in their projects.</w:t>
      </w:r>
    </w:p>
    <w:p w:rsidR="00565FBE" w:rsidRDefault="00565FBE" w:rsidP="00565FBE">
      <w:pPr>
        <w:rPr>
          <w:i/>
          <w:iCs/>
        </w:rPr>
      </w:pPr>
    </w:p>
    <w:p w:rsidR="00F414C9" w:rsidRDefault="00F414C9" w:rsidP="00565FBE">
      <w:pPr>
        <w:rPr>
          <w:i/>
          <w:iCs/>
        </w:rPr>
      </w:pPr>
    </w:p>
    <w:p w:rsidR="00565FBE" w:rsidRDefault="00565FBE" w:rsidP="00565FBE">
      <w:pPr>
        <w:rPr>
          <w:i/>
          <w:iCs/>
        </w:rPr>
      </w:pPr>
    </w:p>
    <w:p w:rsidR="00565FBE" w:rsidRDefault="00565FBE" w:rsidP="00565FBE">
      <w:pPr>
        <w:rPr>
          <w:i/>
          <w:iCs/>
        </w:rPr>
      </w:pPr>
    </w:p>
    <w:p w:rsidR="00565FBE" w:rsidRDefault="00565FBE" w:rsidP="00565FBE">
      <w:pPr>
        <w:rPr>
          <w:i/>
          <w:iCs/>
        </w:rPr>
      </w:pPr>
    </w:p>
    <w:p w:rsidR="00565FBE" w:rsidRDefault="00565FBE" w:rsidP="00565FBE">
      <w:pPr>
        <w:rPr>
          <w:i/>
          <w:iCs/>
        </w:rPr>
      </w:pPr>
    </w:p>
    <w:p w:rsidR="009462AC" w:rsidRDefault="009462AC" w:rsidP="005327C5">
      <w:r>
        <w:rPr>
          <w:noProof/>
        </w:rPr>
        <w:drawing>
          <wp:anchor distT="0" distB="0" distL="114300" distR="114300" simplePos="0" relativeHeight="251667456" behindDoc="0" locked="0" layoutInCell="1" allowOverlap="1" wp14:anchorId="3F98E8D4">
            <wp:simplePos x="0" y="0"/>
            <wp:positionH relativeFrom="column">
              <wp:posOffset>3304540</wp:posOffset>
            </wp:positionH>
            <wp:positionV relativeFrom="paragraph">
              <wp:posOffset>90170</wp:posOffset>
            </wp:positionV>
            <wp:extent cx="3019425" cy="2190115"/>
            <wp:effectExtent l="0" t="0" r="9525"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2190115"/>
                    </a:xfrm>
                    <a:prstGeom prst="rect">
                      <a:avLst/>
                    </a:prstGeom>
                    <a:noFill/>
                  </pic:spPr>
                </pic:pic>
              </a:graphicData>
            </a:graphic>
            <wp14:sizeRelH relativeFrom="margin">
              <wp14:pctWidth>0</wp14:pctWidth>
            </wp14:sizeRelH>
            <wp14:sizeRelV relativeFrom="margin">
              <wp14:pctHeight>0</wp14:pctHeight>
            </wp14:sizeRelV>
          </wp:anchor>
        </w:drawing>
      </w:r>
    </w:p>
    <w:p w:rsidR="00565FBE" w:rsidRDefault="005327C5" w:rsidP="005327C5">
      <w:r>
        <w:t>A</w:t>
      </w:r>
      <w:r w:rsidR="00FF63EF">
        <w:t xml:space="preserve">lmost half </w:t>
      </w:r>
      <w:r w:rsidR="00565FBE" w:rsidRPr="004E3377">
        <w:t>of projects (</w:t>
      </w:r>
      <w:r w:rsidR="00FF63EF">
        <w:t>46</w:t>
      </w:r>
      <w:r w:rsidR="00565FBE">
        <w:t>%) d</w:t>
      </w:r>
      <w:r w:rsidR="00565FBE" w:rsidRPr="004E3377">
        <w:t xml:space="preserve">emonstrate </w:t>
      </w:r>
      <w:r w:rsidR="004E75CA">
        <w:t xml:space="preserve">a </w:t>
      </w:r>
      <w:r w:rsidR="009462AC">
        <w:t>good</w:t>
      </w:r>
      <w:r w:rsidR="00565FBE" w:rsidRPr="004E3377">
        <w:t xml:space="preserve"> analysis of gender </w:t>
      </w:r>
      <w:r w:rsidR="00565FBE">
        <w:t xml:space="preserve">and/or age </w:t>
      </w:r>
      <w:r w:rsidR="00565FBE" w:rsidRPr="004E3377">
        <w:t xml:space="preserve">inequality in </w:t>
      </w:r>
      <w:r w:rsidR="00FF63EF">
        <w:t>South Sudan</w:t>
      </w:r>
      <w:r w:rsidR="000B6ABE">
        <w:t>.</w:t>
      </w:r>
      <w:r w:rsidR="00565FBE">
        <w:t xml:space="preserve">  </w:t>
      </w:r>
      <w:r w:rsidR="00FF63EF">
        <w:t>An additional 10%</w:t>
      </w:r>
      <w:r w:rsidR="00565FBE">
        <w:t xml:space="preserve"> have a limited concept of analysis,</w:t>
      </w:r>
      <w:r w:rsidR="00565FBE" w:rsidRPr="004E3377">
        <w:t xml:space="preserve"> express</w:t>
      </w:r>
      <w:r w:rsidR="00565FBE">
        <w:t>ing</w:t>
      </w:r>
      <w:r w:rsidR="00565FBE" w:rsidRPr="004E3377">
        <w:t xml:space="preserve"> a</w:t>
      </w:r>
      <w:r w:rsidR="00565FBE">
        <w:t xml:space="preserve">n intention </w:t>
      </w:r>
      <w:r w:rsidR="00565FBE" w:rsidRPr="004E3377">
        <w:t>to address inequality as oppos</w:t>
      </w:r>
      <w:r w:rsidR="00565FBE">
        <w:t>ed to an analysis of it, or citing</w:t>
      </w:r>
      <w:r w:rsidR="00565FBE" w:rsidRPr="004E3377">
        <w:t xml:space="preserve"> disaggregated statistics often unrelated to their sector or activities.  Many projects focus their analysis exclusively on gender-based violence</w:t>
      </w:r>
      <w:r w:rsidR="008E50A5">
        <w:t>.</w:t>
      </w:r>
      <w:r w:rsidR="00565FBE" w:rsidRPr="004E3377">
        <w:t xml:space="preserve"> </w:t>
      </w:r>
      <w:r w:rsidR="00FF63EF">
        <w:t xml:space="preserve"> Thirty </w:t>
      </w:r>
      <w:r w:rsidR="00565FBE" w:rsidRPr="004E3377">
        <w:t xml:space="preserve">projects (approx. </w:t>
      </w:r>
      <w:r w:rsidR="00FF63EF">
        <w:t>40</w:t>
      </w:r>
      <w:r w:rsidR="00565FBE">
        <w:t>%</w:t>
      </w:r>
      <w:r w:rsidR="00565FBE" w:rsidRPr="004E3377">
        <w:t>) have no gender analysis</w:t>
      </w:r>
      <w:r w:rsidR="00565FBE">
        <w:t>.</w:t>
      </w:r>
    </w:p>
    <w:p w:rsidR="004E75CA" w:rsidRDefault="004E75CA" w:rsidP="00C930BD"/>
    <w:p w:rsidR="005327C5" w:rsidRDefault="005327C5" w:rsidP="00C930BD"/>
    <w:p w:rsidR="005327C5" w:rsidRDefault="005327C5" w:rsidP="00C930BD"/>
    <w:p w:rsidR="005327C5" w:rsidRDefault="005327C5" w:rsidP="00C930BD"/>
    <w:p w:rsidR="005327C5" w:rsidRDefault="005327C5" w:rsidP="00C930BD"/>
    <w:p w:rsidR="005327C5" w:rsidRDefault="005327C5" w:rsidP="00C930BD"/>
    <w:p w:rsidR="005327C5" w:rsidRDefault="005327C5" w:rsidP="00C930BD"/>
    <w:p w:rsidR="005327C5" w:rsidRDefault="005327C5" w:rsidP="00C930BD"/>
    <w:p w:rsidR="005327C5" w:rsidRDefault="005327C5" w:rsidP="00C930BD"/>
    <w:p w:rsidR="005327C5" w:rsidRDefault="005327C5" w:rsidP="00C930BD"/>
    <w:p w:rsidR="00621697" w:rsidRDefault="00621697" w:rsidP="00C930BD"/>
    <w:p w:rsidR="00621697" w:rsidRDefault="00621697" w:rsidP="00C930BD"/>
    <w:p w:rsidR="008E50A5" w:rsidRDefault="008E50A5" w:rsidP="00C930BD">
      <w:r>
        <w:rPr>
          <w:noProof/>
        </w:rPr>
        <w:drawing>
          <wp:anchor distT="0" distB="0" distL="114300" distR="114300" simplePos="0" relativeHeight="251661312" behindDoc="0" locked="0" layoutInCell="1" allowOverlap="1" wp14:anchorId="2B53A2F0">
            <wp:simplePos x="0" y="0"/>
            <wp:positionH relativeFrom="column">
              <wp:posOffset>47625</wp:posOffset>
            </wp:positionH>
            <wp:positionV relativeFrom="paragraph">
              <wp:posOffset>224155</wp:posOffset>
            </wp:positionV>
            <wp:extent cx="2762250" cy="18567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0" cy="1856740"/>
                    </a:xfrm>
                    <a:prstGeom prst="rect">
                      <a:avLst/>
                    </a:prstGeom>
                    <a:noFill/>
                  </pic:spPr>
                </pic:pic>
              </a:graphicData>
            </a:graphic>
            <wp14:sizeRelH relativeFrom="margin">
              <wp14:pctWidth>0</wp14:pctWidth>
            </wp14:sizeRelH>
            <wp14:sizeRelV relativeFrom="margin">
              <wp14:pctHeight>0</wp14:pctHeight>
            </wp14:sizeRelV>
          </wp:anchor>
        </w:drawing>
      </w:r>
    </w:p>
    <w:p w:rsidR="00E504E2" w:rsidRDefault="004E75CA" w:rsidP="00C930BD">
      <w:r>
        <w:t>In their</w:t>
      </w:r>
      <w:r w:rsidR="00E504E2">
        <w:t xml:space="preserve"> analysis, </w:t>
      </w:r>
      <w:r w:rsidR="009C0FCC">
        <w:t>50% of project</w:t>
      </w:r>
      <w:r w:rsidR="00982D19">
        <w:t>s</w:t>
      </w:r>
      <w:r w:rsidR="009C0FCC">
        <w:t xml:space="preserve"> say they consider women, girls, boys and men.  Overall, </w:t>
      </w:r>
      <w:r>
        <w:t>80% of projects focus on women, girls and</w:t>
      </w:r>
      <w:r w:rsidR="00982D19">
        <w:t>/or</w:t>
      </w:r>
      <w:r>
        <w:t xml:space="preserve"> boys, and slightly less than 60% </w:t>
      </w:r>
      <w:r w:rsidR="00982D19">
        <w:t xml:space="preserve">also </w:t>
      </w:r>
      <w:r>
        <w:t xml:space="preserve">specifically </w:t>
      </w:r>
      <w:r w:rsidR="008E50A5">
        <w:t>include</w:t>
      </w:r>
      <w:r>
        <w:t xml:space="preserve"> men. </w:t>
      </w:r>
      <w:r w:rsidR="00E504E2">
        <w:t xml:space="preserve"> </w:t>
      </w:r>
      <w:r>
        <w:t>16</w:t>
      </w:r>
      <w:r w:rsidR="00E504E2">
        <w:t xml:space="preserve">% of projects </w:t>
      </w:r>
      <w:r>
        <w:t xml:space="preserve">(12) </w:t>
      </w:r>
      <w:r w:rsidR="00E504E2">
        <w:t xml:space="preserve">indicate that their analysis is concerned with people of diverse gender orientation/identity, but there </w:t>
      </w:r>
      <w:r w:rsidR="00982D19">
        <w:t>may be</w:t>
      </w:r>
      <w:r w:rsidR="00E504E2">
        <w:t xml:space="preserve"> confusion about the definition as this gender group is </w:t>
      </w:r>
      <w:r w:rsidR="00EC5281">
        <w:t>rarely</w:t>
      </w:r>
      <w:r w:rsidR="00E504E2">
        <w:t xml:space="preserve"> mentioned in the narrative analyses. </w:t>
      </w:r>
      <w:r w:rsidR="00C930BD">
        <w:t xml:space="preserve"> </w:t>
      </w:r>
      <w:r w:rsidR="00E504E2">
        <w:t xml:space="preserve">  </w:t>
      </w:r>
      <w:r w:rsidR="00E504E2">
        <w:tab/>
        <w:t xml:space="preserve"> </w:t>
      </w:r>
    </w:p>
    <w:p w:rsidR="004E75CA" w:rsidRDefault="004E75CA" w:rsidP="00E504E2"/>
    <w:p w:rsidR="004E75CA" w:rsidRDefault="004E75CA" w:rsidP="00E504E2"/>
    <w:p w:rsidR="009C0FCC" w:rsidRDefault="009C0FCC" w:rsidP="00E504E2"/>
    <w:p w:rsidR="005327C5" w:rsidRDefault="005327C5" w:rsidP="005327C5">
      <w:r>
        <w:rPr>
          <w:noProof/>
        </w:rPr>
        <w:drawing>
          <wp:anchor distT="0" distB="0" distL="114300" distR="114300" simplePos="0" relativeHeight="251662336" behindDoc="0" locked="0" layoutInCell="1" allowOverlap="1" wp14:anchorId="3CEBCC8E">
            <wp:simplePos x="0" y="0"/>
            <wp:positionH relativeFrom="column">
              <wp:posOffset>0</wp:posOffset>
            </wp:positionH>
            <wp:positionV relativeFrom="paragraph">
              <wp:posOffset>133350</wp:posOffset>
            </wp:positionV>
            <wp:extent cx="3009900" cy="1651000"/>
            <wp:effectExtent l="0" t="0" r="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0" cy="1651000"/>
                    </a:xfrm>
                    <a:prstGeom prst="rect">
                      <a:avLst/>
                    </a:prstGeom>
                    <a:noFill/>
                  </pic:spPr>
                </pic:pic>
              </a:graphicData>
            </a:graphic>
            <wp14:sizeRelH relativeFrom="margin">
              <wp14:pctWidth>0</wp14:pctWidth>
            </wp14:sizeRelH>
            <wp14:sizeRelV relativeFrom="margin">
              <wp14:pctHeight>0</wp14:pctHeight>
            </wp14:sizeRelV>
          </wp:anchor>
        </w:drawing>
      </w:r>
    </w:p>
    <w:p w:rsidR="009C0FCC" w:rsidRDefault="009C0FCC" w:rsidP="005327C5">
      <w:r>
        <w:t>26% of projects indicate their analysis includes all age groups, while the majority are more selective.  Only 45% of projects will specifically respond to older adults</w:t>
      </w:r>
      <w:r w:rsidR="000651FB">
        <w:t>.  Y</w:t>
      </w:r>
      <w:r>
        <w:t xml:space="preserve">oung children and adolescents are addressed by 61% and 64% of projects respectively.   Five projects do not specify age groups of </w:t>
      </w:r>
      <w:r w:rsidR="000651FB">
        <w:t>concern</w:t>
      </w:r>
      <w:r>
        <w:t>.</w:t>
      </w:r>
    </w:p>
    <w:p w:rsidR="009C0FCC" w:rsidRDefault="009C0FCC" w:rsidP="00E504E2"/>
    <w:p w:rsidR="005327C5" w:rsidRDefault="005327C5" w:rsidP="00E504E2"/>
    <w:p w:rsidR="00E504E2" w:rsidRDefault="00E504E2" w:rsidP="00E504E2">
      <w:r>
        <w:t>Support</w:t>
      </w:r>
      <w:r w:rsidRPr="004E68B8">
        <w:t xml:space="preserve"> is needed to help project holders </w:t>
      </w:r>
      <w:r>
        <w:t>understand how and gender and age</w:t>
      </w:r>
      <w:r w:rsidRPr="004E68B8">
        <w:t xml:space="preserve"> analysis </w:t>
      </w:r>
      <w:r>
        <w:t>can</w:t>
      </w:r>
      <w:r w:rsidRPr="004E68B8">
        <w:t xml:space="preserve"> inform the activities to be delivered, how different groups </w:t>
      </w:r>
      <w:r>
        <w:t>can</w:t>
      </w:r>
      <w:r w:rsidRPr="004E68B8">
        <w:t xml:space="preserve"> be engaged, or how results will be measured</w:t>
      </w:r>
      <w:r w:rsidR="00982D19">
        <w:t xml:space="preserve">.  Cluster coordinators can be involved to </w:t>
      </w:r>
      <w:r w:rsidRPr="004E68B8">
        <w:t xml:space="preserve">ensure partners </w:t>
      </w:r>
      <w:r w:rsidR="00982D19">
        <w:t xml:space="preserve">share a common analysis of who is at risk in the crisis and why, and that they </w:t>
      </w:r>
      <w:r w:rsidRPr="004E68B8">
        <w:t xml:space="preserve">understand the implications of </w:t>
      </w:r>
      <w:r w:rsidR="005327C5">
        <w:t>this for their project activities</w:t>
      </w:r>
      <w:r w:rsidRPr="004E68B8">
        <w:t>.</w:t>
      </w:r>
      <w:r>
        <w:t xml:space="preserve">  </w:t>
      </w:r>
    </w:p>
    <w:p w:rsidR="00D76AEE" w:rsidRDefault="00D76AEE" w:rsidP="00E504E2"/>
    <w:p w:rsidR="00246F23" w:rsidRDefault="00246F23" w:rsidP="00E504E2"/>
    <w:p w:rsidR="00621697" w:rsidRDefault="00621697" w:rsidP="00E504E2"/>
    <w:p w:rsidR="00621697" w:rsidRDefault="00621697" w:rsidP="00E504E2"/>
    <w:p w:rsidR="00621697" w:rsidRDefault="00621697" w:rsidP="00E504E2"/>
    <w:p w:rsidR="00621697" w:rsidRDefault="00621697" w:rsidP="00E504E2"/>
    <w:p w:rsidR="00621697" w:rsidRDefault="00621697" w:rsidP="00E504E2"/>
    <w:p w:rsidR="00621697" w:rsidRDefault="00370EBA" w:rsidP="00E504E2">
      <w:r>
        <w:rPr>
          <w:noProof/>
        </w:rPr>
        <w:drawing>
          <wp:anchor distT="0" distB="0" distL="114300" distR="114300" simplePos="0" relativeHeight="251663360" behindDoc="0" locked="0" layoutInCell="1" allowOverlap="1" wp14:anchorId="66457C51">
            <wp:simplePos x="0" y="0"/>
            <wp:positionH relativeFrom="column">
              <wp:posOffset>3181584</wp:posOffset>
            </wp:positionH>
            <wp:positionV relativeFrom="paragraph">
              <wp:posOffset>133350</wp:posOffset>
            </wp:positionV>
            <wp:extent cx="2827020" cy="2050585"/>
            <wp:effectExtent l="0" t="0" r="0"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7020" cy="2050585"/>
                    </a:xfrm>
                    <a:prstGeom prst="rect">
                      <a:avLst/>
                    </a:prstGeom>
                    <a:noFill/>
                  </pic:spPr>
                </pic:pic>
              </a:graphicData>
            </a:graphic>
          </wp:anchor>
        </w:drawing>
      </w:r>
    </w:p>
    <w:p w:rsidR="00E504E2" w:rsidRDefault="00246F23" w:rsidP="00370EBA">
      <w:r>
        <w:t>54</w:t>
      </w:r>
      <w:r w:rsidR="00E504E2">
        <w:t xml:space="preserve">% of projects plan to adapt or tailor </w:t>
      </w:r>
      <w:r w:rsidR="00F4750D">
        <w:t xml:space="preserve">their </w:t>
      </w:r>
      <w:r w:rsidR="00E504E2">
        <w:t xml:space="preserve">activities </w:t>
      </w:r>
      <w:r w:rsidR="005F7A8B">
        <w:t>based on</w:t>
      </w:r>
      <w:r w:rsidR="00E504E2">
        <w:t xml:space="preserve"> </w:t>
      </w:r>
      <w:r w:rsidR="00F4750D">
        <w:t>different gender-related</w:t>
      </w:r>
      <w:r w:rsidR="00E504E2">
        <w:t xml:space="preserve"> needs, roles and dynamics, </w:t>
      </w:r>
      <w:r>
        <w:t>while 46</w:t>
      </w:r>
      <w:r w:rsidR="00E504E2">
        <w:t xml:space="preserve">% tailor activities based on different needs.    There are </w:t>
      </w:r>
      <w:r>
        <w:t>no</w:t>
      </w:r>
      <w:r w:rsidR="00E504E2">
        <w:t xml:space="preserve"> projects that constitute “targeted action” (Code T) to reduce gender barriers or discrimination</w:t>
      </w:r>
      <w:r w:rsidR="00621697">
        <w:t xml:space="preserve">; this is quite normal </w:t>
      </w:r>
      <w:r w:rsidR="00E504E2">
        <w:t xml:space="preserve">in </w:t>
      </w:r>
      <w:r w:rsidR="00621697">
        <w:t>humanitarian setting</w:t>
      </w:r>
      <w:r w:rsidR="00E504E2">
        <w:t xml:space="preserve">s.  </w:t>
      </w:r>
    </w:p>
    <w:p w:rsidR="00246F23" w:rsidRDefault="00246F23" w:rsidP="00E504E2"/>
    <w:p w:rsidR="00246F23" w:rsidRDefault="00246F23" w:rsidP="00E504E2"/>
    <w:p w:rsidR="00246F23" w:rsidRDefault="00246F23" w:rsidP="00E504E2"/>
    <w:p w:rsidR="00246F23" w:rsidRDefault="00246F23" w:rsidP="00E504E2"/>
    <w:p w:rsidR="00621697" w:rsidRDefault="00370EBA" w:rsidP="00E504E2">
      <w:r>
        <w:rPr>
          <w:noProof/>
        </w:rPr>
        <w:drawing>
          <wp:anchor distT="0" distB="0" distL="114300" distR="114300" simplePos="0" relativeHeight="251664384" behindDoc="0" locked="0" layoutInCell="1" allowOverlap="1" wp14:anchorId="453B0CE2">
            <wp:simplePos x="0" y="0"/>
            <wp:positionH relativeFrom="column">
              <wp:posOffset>-26035</wp:posOffset>
            </wp:positionH>
            <wp:positionV relativeFrom="paragraph">
              <wp:posOffset>273050</wp:posOffset>
            </wp:positionV>
            <wp:extent cx="2783889" cy="20193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3889" cy="2019300"/>
                    </a:xfrm>
                    <a:prstGeom prst="rect">
                      <a:avLst/>
                    </a:prstGeom>
                    <a:noFill/>
                  </pic:spPr>
                </pic:pic>
              </a:graphicData>
            </a:graphic>
            <wp14:sizeRelH relativeFrom="margin">
              <wp14:pctWidth>0</wp14:pctWidth>
            </wp14:sizeRelH>
            <wp14:sizeRelV relativeFrom="margin">
              <wp14:pctHeight>0</wp14:pctHeight>
            </wp14:sizeRelV>
          </wp:anchor>
        </w:drawing>
      </w:r>
    </w:p>
    <w:p w:rsidR="00E504E2" w:rsidRDefault="00E504E2" w:rsidP="00E504E2">
      <w:r>
        <w:t xml:space="preserve">How affected people participate differs widely among projects and shows meaningful response. While </w:t>
      </w:r>
      <w:r w:rsidR="00982D19">
        <w:t>35</w:t>
      </w:r>
      <w:r>
        <w:t xml:space="preserve">% say affected people will be involved in </w:t>
      </w:r>
      <w:r w:rsidRPr="007A3B8C">
        <w:rPr>
          <w:i/>
          <w:iCs/>
        </w:rPr>
        <w:t xml:space="preserve">all </w:t>
      </w:r>
      <w:r>
        <w:t xml:space="preserve">aspects of project management, most are more </w:t>
      </w:r>
      <w:r w:rsidR="00621697">
        <w:t>realistic</w:t>
      </w:r>
      <w:r>
        <w:t xml:space="preserve">.  </w:t>
      </w:r>
      <w:r w:rsidR="00982D19">
        <w:t>36</w:t>
      </w:r>
      <w:r>
        <w:t xml:space="preserve">% of projects involve beneficiaries in </w:t>
      </w:r>
      <w:r>
        <w:rPr>
          <w:i/>
          <w:iCs/>
        </w:rPr>
        <w:t>three</w:t>
      </w:r>
      <w:r>
        <w:t xml:space="preserve"> stages – assessment, design and delivery</w:t>
      </w:r>
      <w:r w:rsidR="00982D19">
        <w:t>; only one project says</w:t>
      </w:r>
      <w:r>
        <w:t xml:space="preserve"> people are not involved.  The remaining </w:t>
      </w:r>
      <w:r w:rsidR="00982D19">
        <w:t>30</w:t>
      </w:r>
      <w:r>
        <w:t xml:space="preserve">% of projects select </w:t>
      </w:r>
      <w:r w:rsidR="00621697">
        <w:t>one or two</w:t>
      </w:r>
      <w:r>
        <w:t xml:space="preserve"> aspects of project management where affected people will be involved. </w:t>
      </w:r>
      <w:r w:rsidR="005F7A8B">
        <w:t xml:space="preserve">  Affected people appear to be least involved in project review and revision.</w:t>
      </w:r>
    </w:p>
    <w:p w:rsidR="00246F23" w:rsidRDefault="00246F23" w:rsidP="00E504E2"/>
    <w:p w:rsidR="00246F23" w:rsidRDefault="00246F23" w:rsidP="00E504E2"/>
    <w:p w:rsidR="005F7A8B" w:rsidRDefault="004F4A16" w:rsidP="00E504E2">
      <w:r>
        <w:rPr>
          <w:noProof/>
        </w:rPr>
        <w:drawing>
          <wp:anchor distT="0" distB="0" distL="114300" distR="114300" simplePos="0" relativeHeight="251665408" behindDoc="0" locked="0" layoutInCell="1" allowOverlap="1" wp14:anchorId="5E02A9AF">
            <wp:simplePos x="0" y="0"/>
            <wp:positionH relativeFrom="column">
              <wp:posOffset>3181350</wp:posOffset>
            </wp:positionH>
            <wp:positionV relativeFrom="paragraph">
              <wp:posOffset>128905</wp:posOffset>
            </wp:positionV>
            <wp:extent cx="2757805" cy="20002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7805" cy="2000250"/>
                    </a:xfrm>
                    <a:prstGeom prst="rect">
                      <a:avLst/>
                    </a:prstGeom>
                    <a:noFill/>
                  </pic:spPr>
                </pic:pic>
              </a:graphicData>
            </a:graphic>
            <wp14:sizeRelH relativeFrom="margin">
              <wp14:pctWidth>0</wp14:pctWidth>
            </wp14:sizeRelH>
            <wp14:sizeRelV relativeFrom="margin">
              <wp14:pctHeight>0</wp14:pctHeight>
            </wp14:sizeRelV>
          </wp:anchor>
        </w:drawing>
      </w:r>
    </w:p>
    <w:p w:rsidR="00C273FA" w:rsidRPr="00C273FA" w:rsidRDefault="00C273FA" w:rsidP="00E504E2">
      <w:pPr>
        <w:rPr>
          <w:u w:val="single"/>
        </w:rPr>
      </w:pPr>
      <w:r w:rsidRPr="00C273FA">
        <w:rPr>
          <w:u w:val="single"/>
        </w:rPr>
        <w:t xml:space="preserve">Reporting relative benefits </w:t>
      </w:r>
    </w:p>
    <w:p w:rsidR="005F7A8B" w:rsidRPr="004F4A16" w:rsidRDefault="004F4A16" w:rsidP="00E504E2">
      <w:r>
        <w:t xml:space="preserve">59% of projects say they will be able to provide disaggregated information on both the activities delivered, and the needs met.  Smaller proportions (16% and 22% of projects) plan to report on either </w:t>
      </w:r>
      <w:proofErr w:type="gramStart"/>
      <w:r>
        <w:t>needs</w:t>
      </w:r>
      <w:proofErr w:type="gramEnd"/>
      <w:r>
        <w:t xml:space="preserve"> met </w:t>
      </w:r>
      <w:r>
        <w:rPr>
          <w:i/>
          <w:iCs/>
        </w:rPr>
        <w:t xml:space="preserve">or </w:t>
      </w:r>
      <w:r>
        <w:t>activities delivered, for different gender and age groups.</w:t>
      </w:r>
    </w:p>
    <w:p w:rsidR="00E504E2" w:rsidRDefault="00E504E2" w:rsidP="00E504E2"/>
    <w:p w:rsidR="007A21B2" w:rsidRPr="007A21B2" w:rsidRDefault="007A21B2" w:rsidP="00E504E2">
      <w:pPr>
        <w:rPr>
          <w:u w:val="single"/>
        </w:rPr>
      </w:pPr>
      <w:bookmarkStart w:id="1" w:name="_Hlk531246573"/>
      <w:r>
        <w:rPr>
          <w:i/>
          <w:iCs/>
          <w:noProof/>
        </w:rPr>
        <w:lastRenderedPageBreak/>
        <w:drawing>
          <wp:anchor distT="0" distB="0" distL="114300" distR="114300" simplePos="0" relativeHeight="251668480" behindDoc="0" locked="0" layoutInCell="1" allowOverlap="1" wp14:anchorId="3C1B564D">
            <wp:simplePos x="0" y="0"/>
            <wp:positionH relativeFrom="column">
              <wp:posOffset>3257550</wp:posOffset>
            </wp:positionH>
            <wp:positionV relativeFrom="paragraph">
              <wp:posOffset>238125</wp:posOffset>
            </wp:positionV>
            <wp:extent cx="2752725" cy="1996440"/>
            <wp:effectExtent l="0" t="0" r="952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2725" cy="1996440"/>
                    </a:xfrm>
                    <a:prstGeom prst="rect">
                      <a:avLst/>
                    </a:prstGeom>
                    <a:noFill/>
                  </pic:spPr>
                </pic:pic>
              </a:graphicData>
            </a:graphic>
            <wp14:sizeRelH relativeFrom="margin">
              <wp14:pctWidth>0</wp14:pctWidth>
            </wp14:sizeRelH>
            <wp14:sizeRelV relativeFrom="margin">
              <wp14:pctHeight>0</wp14:pctHeight>
            </wp14:sizeRelV>
          </wp:anchor>
        </w:drawing>
      </w:r>
      <w:r>
        <w:rPr>
          <w:u w:val="single"/>
        </w:rPr>
        <w:t>Summary</w:t>
      </w:r>
    </w:p>
    <w:p w:rsidR="007A21B2" w:rsidRDefault="007A21B2" w:rsidP="004B0BB2">
      <w:r>
        <w:t xml:space="preserve">A total of 141 GAM forms were completed for South Sudan.   There are 396 accepted projects in the South Sudan HPC; the IASC Gender with Age Marker was completed for 74 (19%) of the accepted projects.  </w:t>
      </w:r>
      <w:r w:rsidRPr="007A21B2">
        <w:t>38 additional HPC accepted projects appear to have a valid GAM Reference number,</w:t>
      </w:r>
      <w:r w:rsidRPr="007A21B2">
        <w:rPr>
          <w:u w:val="single"/>
        </w:rPr>
        <w:t xml:space="preserve"> but </w:t>
      </w:r>
      <w:r w:rsidR="002531A9">
        <w:rPr>
          <w:u w:val="single"/>
        </w:rPr>
        <w:t xml:space="preserve">users </w:t>
      </w:r>
      <w:r w:rsidRPr="007A21B2">
        <w:rPr>
          <w:u w:val="single"/>
        </w:rPr>
        <w:t>likely failed to press “submit” on completion, as the forms are not found in the GAM database.</w:t>
      </w:r>
      <w:r>
        <w:t xml:space="preserve">   </w:t>
      </w:r>
      <w:r w:rsidR="004B0BB2">
        <w:t xml:space="preserve"> </w:t>
      </w:r>
      <w:r>
        <w:t>All 396 accepted HPC projects cite a GAM code, but most of these are not valid.</w:t>
      </w:r>
    </w:p>
    <w:p w:rsidR="007A21B2" w:rsidRDefault="007A21B2" w:rsidP="00E504E2"/>
    <w:p w:rsidR="00C1677C" w:rsidRDefault="00C1677C" w:rsidP="00BB1ED8">
      <w:r>
        <w:rPr>
          <w:noProof/>
        </w:rPr>
        <w:drawing>
          <wp:anchor distT="0" distB="0" distL="114300" distR="114300" simplePos="0" relativeHeight="251669504" behindDoc="0" locked="0" layoutInCell="1" allowOverlap="1" wp14:anchorId="3CE5EA12">
            <wp:simplePos x="0" y="0"/>
            <wp:positionH relativeFrom="column">
              <wp:posOffset>-38100</wp:posOffset>
            </wp:positionH>
            <wp:positionV relativeFrom="paragraph">
              <wp:posOffset>184785</wp:posOffset>
            </wp:positionV>
            <wp:extent cx="2729230" cy="1647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9230" cy="1647825"/>
                    </a:xfrm>
                    <a:prstGeom prst="rect">
                      <a:avLst/>
                    </a:prstGeom>
                    <a:noFill/>
                  </pic:spPr>
                </pic:pic>
              </a:graphicData>
            </a:graphic>
            <wp14:sizeRelH relativeFrom="margin">
              <wp14:pctWidth>0</wp14:pctWidth>
            </wp14:sizeRelH>
            <wp14:sizeRelV relativeFrom="margin">
              <wp14:pctHeight>0</wp14:pctHeight>
            </wp14:sizeRelV>
          </wp:anchor>
        </w:drawing>
      </w:r>
    </w:p>
    <w:p w:rsidR="00BB1ED8" w:rsidRDefault="00BB1ED8" w:rsidP="00BB1ED8">
      <w:r>
        <w:t xml:space="preserve">There were relatively few “transcription errors” when copying GAM codes into the HPC.  These show that there may still be a misperception that a “targeted action” (T) is somehow better than a project that mainstreams gender (M).  Nine projects changed their code from (M) to (T) when entering it in HPC tools; only two projects “upgraded” their code from </w:t>
      </w:r>
      <w:r w:rsidR="00C1677C">
        <w:t xml:space="preserve">2 to 3, or </w:t>
      </w:r>
      <w:r>
        <w:t xml:space="preserve">3 to 4. </w:t>
      </w:r>
    </w:p>
    <w:p w:rsidR="00BB1ED8" w:rsidRDefault="00BB1ED8" w:rsidP="00E504E2"/>
    <w:p w:rsidR="00544E33" w:rsidRDefault="00544E33" w:rsidP="002531A9"/>
    <w:p w:rsidR="002531A9" w:rsidRDefault="004F4A16" w:rsidP="002531A9">
      <w:r>
        <w:t xml:space="preserve">It is </w:t>
      </w:r>
      <w:r w:rsidR="00BB1ED8">
        <w:t xml:space="preserve">impressive that the Gender with Age Marker was applied to so many GAM projects in South Sudan, given the lack of formal direction and </w:t>
      </w:r>
      <w:r w:rsidR="002531A9">
        <w:t xml:space="preserve">“trained” GAM resource people or gender advisors involved in-country.  </w:t>
      </w:r>
    </w:p>
    <w:bookmarkEnd w:id="1"/>
    <w:p w:rsidR="00E504E2" w:rsidRDefault="00E504E2" w:rsidP="002531A9">
      <w:r w:rsidRPr="004E3377">
        <w:t xml:space="preserve">In addition to highlighting </w:t>
      </w:r>
      <w:r w:rsidR="002531A9">
        <w:t>intent</w:t>
      </w:r>
      <w:r>
        <w:t xml:space="preserve"> to address </w:t>
      </w:r>
      <w:r w:rsidR="00544E33">
        <w:t>the</w:t>
      </w:r>
      <w:r>
        <w:t xml:space="preserve"> needs of different groups in </w:t>
      </w:r>
      <w:r w:rsidR="002531A9">
        <w:t>South Sudan</w:t>
      </w:r>
      <w:r>
        <w:t xml:space="preserve">, </w:t>
      </w:r>
      <w:r w:rsidRPr="004E3377">
        <w:t xml:space="preserve">the GAM identifies areas where programming can be more responsive to gender- and age-related exclusion.  </w:t>
      </w:r>
      <w:r>
        <w:t xml:space="preserve">There </w:t>
      </w:r>
      <w:r w:rsidR="002531A9">
        <w:t>is clearly a</w:t>
      </w:r>
      <w:r>
        <w:t xml:space="preserve"> need to support some clusters and organizations in developing a socio-economic (gender) context analysis and understanding its relevance to </w:t>
      </w:r>
      <w:r w:rsidR="002531A9">
        <w:t>the design and delivery of assistance</w:t>
      </w:r>
      <w:r>
        <w:t>, but it is also clear that there is strong capacity for this among several actors in-country.</w:t>
      </w:r>
      <w:r w:rsidR="002531A9">
        <w:t xml:space="preserve">  There is also </w:t>
      </w:r>
      <w:r w:rsidR="00544E33">
        <w:t xml:space="preserve">a </w:t>
      </w:r>
      <w:r w:rsidR="002531A9">
        <w:t xml:space="preserve">need to inform UN Agencies about requirements </w:t>
      </w:r>
      <w:r w:rsidR="00544E33">
        <w:t>for use of</w:t>
      </w:r>
      <w:r w:rsidR="002531A9">
        <w:t xml:space="preserve"> the GAM.</w:t>
      </w:r>
    </w:p>
    <w:p w:rsidR="00E504E2" w:rsidRDefault="00E504E2" w:rsidP="00544E33">
      <w:r w:rsidRPr="004E3377">
        <w:t xml:space="preserve">Use of the IASC Gender with Age Marker by humanitarian actors in </w:t>
      </w:r>
      <w:r w:rsidR="002531A9">
        <w:t xml:space="preserve">South Sudan marks </w:t>
      </w:r>
      <w:r w:rsidRPr="004E3377">
        <w:t>a shift toward delivering aid at new and higher standards.  It is hoped that the support required for its ongoing use in project and program monitoring will be provided</w:t>
      </w:r>
      <w:r w:rsidR="002531A9">
        <w:t xml:space="preserve"> in the coming months.</w:t>
      </w:r>
    </w:p>
    <w:p w:rsidR="004B0BB2" w:rsidRPr="003B69FE" w:rsidRDefault="004B0BB2" w:rsidP="004B0BB2">
      <w:r>
        <w:t>It is intended that ALL projects accepted in the HPC will apply the IASC Gender with Age Marker prior to starting implementation.  Follow-up reports will be provided as more South Sudan actors complete their GAM forms.</w:t>
      </w:r>
    </w:p>
    <w:sectPr w:rsidR="004B0BB2" w:rsidRPr="003B69FE" w:rsidSect="00565FBE">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A7F" w:rsidRDefault="00197A7F" w:rsidP="00CA4B40">
      <w:pPr>
        <w:spacing w:after="0" w:line="240" w:lineRule="auto"/>
      </w:pPr>
      <w:r>
        <w:separator/>
      </w:r>
    </w:p>
  </w:endnote>
  <w:endnote w:type="continuationSeparator" w:id="0">
    <w:p w:rsidR="00197A7F" w:rsidRDefault="00197A7F" w:rsidP="00C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955480"/>
      <w:docPartObj>
        <w:docPartGallery w:val="Page Numbers (Bottom of Page)"/>
        <w:docPartUnique/>
      </w:docPartObj>
    </w:sdtPr>
    <w:sdtEndPr>
      <w:rPr>
        <w:noProof/>
      </w:rPr>
    </w:sdtEndPr>
    <w:sdtContent>
      <w:p w:rsidR="00CD10FD" w:rsidRDefault="00CD1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4B40" w:rsidRDefault="00CA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A7F" w:rsidRDefault="00197A7F" w:rsidP="00CA4B40">
      <w:pPr>
        <w:spacing w:after="0" w:line="240" w:lineRule="auto"/>
      </w:pPr>
      <w:r>
        <w:separator/>
      </w:r>
    </w:p>
  </w:footnote>
  <w:footnote w:type="continuationSeparator" w:id="0">
    <w:p w:rsidR="00197A7F" w:rsidRDefault="00197A7F" w:rsidP="00CA4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3"/>
    <w:rsid w:val="00005268"/>
    <w:rsid w:val="000429B7"/>
    <w:rsid w:val="000651FB"/>
    <w:rsid w:val="000A5D31"/>
    <w:rsid w:val="000B6ABE"/>
    <w:rsid w:val="00197A7F"/>
    <w:rsid w:val="001F515B"/>
    <w:rsid w:val="002135DD"/>
    <w:rsid w:val="00246F23"/>
    <w:rsid w:val="002531A9"/>
    <w:rsid w:val="00274107"/>
    <w:rsid w:val="002A7730"/>
    <w:rsid w:val="00303AC1"/>
    <w:rsid w:val="00370EBA"/>
    <w:rsid w:val="003932AE"/>
    <w:rsid w:val="003B69FE"/>
    <w:rsid w:val="00434228"/>
    <w:rsid w:val="004708F5"/>
    <w:rsid w:val="004B0BB2"/>
    <w:rsid w:val="004C5CA3"/>
    <w:rsid w:val="004E75CA"/>
    <w:rsid w:val="004F2B41"/>
    <w:rsid w:val="004F4A16"/>
    <w:rsid w:val="005327C5"/>
    <w:rsid w:val="00544E33"/>
    <w:rsid w:val="00557D42"/>
    <w:rsid w:val="00565FBE"/>
    <w:rsid w:val="005F7A8B"/>
    <w:rsid w:val="00606100"/>
    <w:rsid w:val="00621697"/>
    <w:rsid w:val="00693133"/>
    <w:rsid w:val="007856C1"/>
    <w:rsid w:val="007A21B2"/>
    <w:rsid w:val="00826221"/>
    <w:rsid w:val="0089582A"/>
    <w:rsid w:val="008A2098"/>
    <w:rsid w:val="008C471C"/>
    <w:rsid w:val="008E50A5"/>
    <w:rsid w:val="008F46FA"/>
    <w:rsid w:val="00900615"/>
    <w:rsid w:val="00914814"/>
    <w:rsid w:val="00914FD8"/>
    <w:rsid w:val="009462AC"/>
    <w:rsid w:val="00982D19"/>
    <w:rsid w:val="009A7B75"/>
    <w:rsid w:val="009C0FCC"/>
    <w:rsid w:val="00A664AB"/>
    <w:rsid w:val="00AA219E"/>
    <w:rsid w:val="00AD6122"/>
    <w:rsid w:val="00B05BAA"/>
    <w:rsid w:val="00BB1ED8"/>
    <w:rsid w:val="00BB331D"/>
    <w:rsid w:val="00C1677C"/>
    <w:rsid w:val="00C273FA"/>
    <w:rsid w:val="00C81E47"/>
    <w:rsid w:val="00C930BD"/>
    <w:rsid w:val="00CA4B40"/>
    <w:rsid w:val="00CD10FD"/>
    <w:rsid w:val="00D20CE4"/>
    <w:rsid w:val="00D24F62"/>
    <w:rsid w:val="00D76AEE"/>
    <w:rsid w:val="00DE5A94"/>
    <w:rsid w:val="00E3360B"/>
    <w:rsid w:val="00E504E2"/>
    <w:rsid w:val="00E914A3"/>
    <w:rsid w:val="00EC5281"/>
    <w:rsid w:val="00EF4753"/>
    <w:rsid w:val="00F03F87"/>
    <w:rsid w:val="00F40A01"/>
    <w:rsid w:val="00F414C9"/>
    <w:rsid w:val="00F4750D"/>
    <w:rsid w:val="00F91A45"/>
    <w:rsid w:val="00FF6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C4961"/>
  <w15:chartTrackingRefBased/>
  <w15:docId w15:val="{241A1019-B07E-4FFF-B126-17482C7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40"/>
  </w:style>
  <w:style w:type="paragraph" w:styleId="Footer">
    <w:name w:val="footer"/>
    <w:basedOn w:val="Normal"/>
    <w:link w:val="FooterChar"/>
    <w:uiPriority w:val="99"/>
    <w:unhideWhenUsed/>
    <w:rsid w:val="00C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40"/>
  </w:style>
  <w:style w:type="table" w:styleId="TableGrid">
    <w:name w:val="Table Grid"/>
    <w:basedOn w:val="TableNormal"/>
    <w:uiPriority w:val="39"/>
    <w:rsid w:val="0053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2</cp:revision>
  <dcterms:created xsi:type="dcterms:W3CDTF">2019-03-18T09:41:00Z</dcterms:created>
  <dcterms:modified xsi:type="dcterms:W3CDTF">2019-03-18T09:41:00Z</dcterms:modified>
</cp:coreProperties>
</file>