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22" w:rsidRDefault="00AD6122" w:rsidP="00AD6122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</w:p>
    <w:p w:rsidR="003B69FE" w:rsidRDefault="00250E9D" w:rsidP="003B69FE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  <w:r w:rsidRPr="004A150D">
        <w:rPr>
          <w:b/>
          <w:bCs/>
          <w:noProof/>
          <w:color w:val="65994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BBA501" wp14:editId="34B5DF85">
            <wp:simplePos x="0" y="0"/>
            <wp:positionH relativeFrom="column">
              <wp:posOffset>1714500</wp:posOffset>
            </wp:positionH>
            <wp:positionV relativeFrom="paragraph">
              <wp:posOffset>632460</wp:posOffset>
            </wp:positionV>
            <wp:extent cx="2663825" cy="971550"/>
            <wp:effectExtent l="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_logo_sim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9FE" w:rsidRDefault="003B69FE" w:rsidP="003B69FE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</w:p>
    <w:p w:rsidR="003B69FE" w:rsidRDefault="003B69FE" w:rsidP="003B69FE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</w:p>
    <w:p w:rsidR="003B69FE" w:rsidRDefault="005422D5" w:rsidP="00075226">
      <w:pPr>
        <w:spacing w:before="160"/>
        <w:jc w:val="center"/>
        <w:rPr>
          <w:rFonts w:ascii="Arial-BoldMT" w:hAnsi="Arial-BoldMT" w:cs="Arial-BoldMT"/>
          <w:b/>
          <w:bCs/>
          <w:color w:val="609340"/>
          <w:sz w:val="64"/>
          <w:szCs w:val="64"/>
        </w:rPr>
      </w:pPr>
      <w:r>
        <w:rPr>
          <w:rFonts w:ascii="Arial-BoldMT" w:hAnsi="Arial-BoldMT" w:cs="Arial-BoldMT"/>
          <w:b/>
          <w:bCs/>
          <w:color w:val="609340"/>
          <w:sz w:val="64"/>
          <w:szCs w:val="64"/>
        </w:rPr>
        <w:t>GAM</w:t>
      </w:r>
      <w:r w:rsidR="00C2518E">
        <w:rPr>
          <w:rFonts w:ascii="Arial-BoldMT" w:hAnsi="Arial-BoldMT" w:cs="Arial-BoldMT"/>
          <w:b/>
          <w:bCs/>
          <w:color w:val="609340"/>
          <w:sz w:val="64"/>
          <w:szCs w:val="64"/>
        </w:rPr>
        <w:t xml:space="preserve"> </w:t>
      </w:r>
      <w:r w:rsidR="003B69FE">
        <w:rPr>
          <w:rFonts w:ascii="Arial-BoldMT" w:hAnsi="Arial-BoldMT" w:cs="Arial-BoldMT"/>
          <w:b/>
          <w:bCs/>
          <w:color w:val="609340"/>
          <w:sz w:val="64"/>
          <w:szCs w:val="64"/>
        </w:rPr>
        <w:t>Results</w:t>
      </w:r>
      <w:r w:rsidR="00C2518E">
        <w:rPr>
          <w:rFonts w:ascii="Arial-BoldMT" w:hAnsi="Arial-BoldMT" w:cs="Arial-BoldMT"/>
          <w:b/>
          <w:bCs/>
          <w:color w:val="609340"/>
          <w:sz w:val="64"/>
          <w:szCs w:val="64"/>
        </w:rPr>
        <w:t>:</w:t>
      </w:r>
    </w:p>
    <w:p w:rsidR="00075226" w:rsidRPr="00075226" w:rsidRDefault="00075226" w:rsidP="00075226">
      <w:pPr>
        <w:spacing w:before="160"/>
        <w:jc w:val="center"/>
        <w:rPr>
          <w:rFonts w:ascii="Arial-BoldMT" w:hAnsi="Arial-BoldMT" w:cs="Arial-BoldMT"/>
          <w:b/>
          <w:bCs/>
          <w:color w:val="609340"/>
          <w:sz w:val="36"/>
          <w:szCs w:val="36"/>
          <w:lang w:val="fr-CH"/>
        </w:rPr>
      </w:pPr>
    </w:p>
    <w:p w:rsidR="00250E9D" w:rsidRDefault="00250E9D" w:rsidP="00075226">
      <w:pPr>
        <w:spacing w:before="160"/>
        <w:jc w:val="center"/>
        <w:rPr>
          <w:rFonts w:ascii="Arial-BoldMT" w:hAnsi="Arial-BoldMT" w:cs="Arial-BoldMT"/>
          <w:b/>
          <w:bCs/>
          <w:color w:val="609340"/>
          <w:sz w:val="64"/>
          <w:szCs w:val="64"/>
          <w:lang w:val="fr-CH"/>
        </w:rPr>
      </w:pPr>
      <w:proofErr w:type="spellStart"/>
      <w:r>
        <w:rPr>
          <w:rFonts w:ascii="Arial-BoldMT" w:hAnsi="Arial-BoldMT" w:cs="Arial-BoldMT"/>
          <w:b/>
          <w:bCs/>
          <w:color w:val="609340"/>
          <w:sz w:val="64"/>
          <w:szCs w:val="64"/>
          <w:lang w:val="fr-CH"/>
        </w:rPr>
        <w:t>Projects</w:t>
      </w:r>
      <w:proofErr w:type="spellEnd"/>
      <w:r>
        <w:rPr>
          <w:rFonts w:ascii="Arial-BoldMT" w:hAnsi="Arial-BoldMT" w:cs="Arial-BoldMT"/>
          <w:b/>
          <w:bCs/>
          <w:color w:val="609340"/>
          <w:sz w:val="64"/>
          <w:szCs w:val="64"/>
          <w:lang w:val="fr-CH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609340"/>
          <w:sz w:val="64"/>
          <w:szCs w:val="64"/>
          <w:lang w:val="fr-CH"/>
        </w:rPr>
        <w:t>Addressing</w:t>
      </w:r>
      <w:proofErr w:type="spellEnd"/>
      <w:r>
        <w:rPr>
          <w:rFonts w:ascii="Arial-BoldMT" w:hAnsi="Arial-BoldMT" w:cs="Arial-BoldMT"/>
          <w:b/>
          <w:bCs/>
          <w:color w:val="609340"/>
          <w:sz w:val="64"/>
          <w:szCs w:val="64"/>
          <w:lang w:val="fr-CH"/>
        </w:rPr>
        <w:t xml:space="preserve"> </w:t>
      </w:r>
    </w:p>
    <w:p w:rsidR="00250E9D" w:rsidRDefault="002F120B" w:rsidP="00075226">
      <w:pPr>
        <w:spacing w:before="160"/>
        <w:jc w:val="center"/>
        <w:rPr>
          <w:rFonts w:ascii="Arial-BoldMT" w:hAnsi="Arial-BoldMT" w:cs="Arial-BoldMT"/>
          <w:b/>
          <w:bCs/>
          <w:color w:val="609340"/>
          <w:sz w:val="64"/>
          <w:szCs w:val="64"/>
          <w:lang w:val="fr-CH"/>
        </w:rPr>
      </w:pPr>
      <w:r w:rsidRPr="00075226">
        <w:rPr>
          <w:rFonts w:ascii="Arial-BoldMT" w:hAnsi="Arial-BoldMT" w:cs="Arial-BoldMT"/>
          <w:b/>
          <w:bCs/>
          <w:color w:val="609340"/>
          <w:sz w:val="64"/>
          <w:szCs w:val="64"/>
          <w:lang w:val="fr-CH"/>
        </w:rPr>
        <w:t xml:space="preserve">Diverse </w:t>
      </w:r>
      <w:proofErr w:type="spellStart"/>
      <w:r w:rsidR="00075226" w:rsidRPr="00075226">
        <w:rPr>
          <w:rFonts w:ascii="Arial-BoldMT" w:hAnsi="Arial-BoldMT" w:cs="Arial-BoldMT"/>
          <w:b/>
          <w:bCs/>
          <w:color w:val="609340"/>
          <w:sz w:val="64"/>
          <w:szCs w:val="64"/>
          <w:lang w:val="fr-CH"/>
        </w:rPr>
        <w:t>Sexual</w:t>
      </w:r>
      <w:proofErr w:type="spellEnd"/>
      <w:r w:rsidR="00075226" w:rsidRPr="00075226">
        <w:rPr>
          <w:rFonts w:ascii="Arial-BoldMT" w:hAnsi="Arial-BoldMT" w:cs="Arial-BoldMT"/>
          <w:b/>
          <w:bCs/>
          <w:color w:val="609340"/>
          <w:sz w:val="64"/>
          <w:szCs w:val="64"/>
          <w:lang w:val="fr-CH"/>
        </w:rPr>
        <w:t xml:space="preserve"> Orientation</w:t>
      </w:r>
    </w:p>
    <w:p w:rsidR="00250E9D" w:rsidRDefault="00250E9D" w:rsidP="00075226">
      <w:pPr>
        <w:spacing w:before="160"/>
        <w:jc w:val="center"/>
        <w:rPr>
          <w:rFonts w:ascii="Arial-BoldMT" w:hAnsi="Arial-BoldMT" w:cs="Arial-BoldMT"/>
          <w:b/>
          <w:bCs/>
          <w:color w:val="609340"/>
          <w:sz w:val="64"/>
          <w:szCs w:val="64"/>
          <w:lang w:val="fr-CH"/>
        </w:rPr>
      </w:pPr>
      <w:r>
        <w:rPr>
          <w:rFonts w:ascii="Arial-BoldMT" w:hAnsi="Arial-BoldMT" w:cs="Arial-BoldMT"/>
          <w:b/>
          <w:bCs/>
          <w:color w:val="609340"/>
          <w:sz w:val="64"/>
          <w:szCs w:val="64"/>
          <w:lang w:val="fr-CH"/>
        </w:rPr>
        <w:t>&amp;</w:t>
      </w:r>
    </w:p>
    <w:p w:rsidR="00250E9D" w:rsidRDefault="00075226" w:rsidP="00250E9D">
      <w:pPr>
        <w:spacing w:before="160"/>
        <w:jc w:val="center"/>
        <w:rPr>
          <w:rFonts w:ascii="Arial-BoldMT" w:hAnsi="Arial-BoldMT" w:cs="Arial-BoldMT"/>
          <w:b/>
          <w:bCs/>
          <w:color w:val="609340"/>
          <w:sz w:val="64"/>
          <w:szCs w:val="64"/>
        </w:rPr>
      </w:pPr>
      <w:r w:rsidRPr="00250E9D">
        <w:rPr>
          <w:rFonts w:ascii="Arial-BoldMT" w:hAnsi="Arial-BoldMT" w:cs="Arial-BoldMT"/>
          <w:b/>
          <w:bCs/>
          <w:color w:val="609340"/>
          <w:sz w:val="64"/>
          <w:szCs w:val="64"/>
        </w:rPr>
        <w:t xml:space="preserve"> Gender Identity </w:t>
      </w:r>
    </w:p>
    <w:p w:rsidR="00250E9D" w:rsidRDefault="00250E9D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  <w:r>
        <w:rPr>
          <w:rFonts w:ascii="Arial-BoldMT" w:hAnsi="Arial-BoldMT" w:cs="Arial-BoldMT"/>
          <w:b/>
          <w:bCs/>
          <w:color w:val="609340"/>
          <w:sz w:val="64"/>
          <w:szCs w:val="64"/>
        </w:rPr>
        <w:br w:type="page"/>
      </w:r>
    </w:p>
    <w:p w:rsidR="00E504E2" w:rsidRDefault="00E504E2" w:rsidP="00250E9D">
      <w:pPr>
        <w:spacing w:before="160"/>
        <w:jc w:val="center"/>
      </w:pPr>
    </w:p>
    <w:p w:rsidR="00E504E2" w:rsidRDefault="00E504E2" w:rsidP="003B69FE">
      <w:pPr>
        <w:rPr>
          <w:rFonts w:ascii="Calibri-Bold" w:hAnsi="Calibri-Bold" w:cs="Calibri-Bold"/>
          <w:b/>
          <w:bCs/>
          <w:sz w:val="72"/>
          <w:szCs w:val="72"/>
        </w:rPr>
      </w:pPr>
      <w:r>
        <w:rPr>
          <w:rFonts w:ascii="Calibri-Bold" w:hAnsi="Calibri-Bold" w:cs="Calibri-Bold"/>
          <w:b/>
          <w:bCs/>
          <w:sz w:val="72"/>
          <w:szCs w:val="72"/>
        </w:rPr>
        <w:t>Overview</w:t>
      </w:r>
    </w:p>
    <w:p w:rsidR="005327C5" w:rsidRDefault="002F120B" w:rsidP="00C42B1D">
      <w:r>
        <w:t xml:space="preserve">Globally, </w:t>
      </w:r>
      <w:r w:rsidR="00215CDB">
        <w:t>1340</w:t>
      </w:r>
      <w:r w:rsidR="00BC7B1B">
        <w:t xml:space="preserve"> out of ~8200</w:t>
      </w:r>
      <w:r>
        <w:t xml:space="preserve"> projects</w:t>
      </w:r>
      <w:r w:rsidR="00BC7B1B">
        <w:t xml:space="preserve"> completing the GAM</w:t>
      </w:r>
      <w:r>
        <w:t xml:space="preserve"> </w:t>
      </w:r>
      <w:r w:rsidR="005C02EB">
        <w:t>indicat</w:t>
      </w:r>
      <w:r w:rsidR="004E17F7">
        <w:t xml:space="preserve">e </w:t>
      </w:r>
      <w:r w:rsidR="00BC7B1B">
        <w:t>that</w:t>
      </w:r>
      <w:r>
        <w:t xml:space="preserve"> they are concerned with people of diverse sexual orientation and gender identity.  45 of these projects </w:t>
      </w:r>
      <w:r w:rsidR="00215CDB">
        <w:t xml:space="preserve">specifically </w:t>
      </w:r>
      <w:r>
        <w:t xml:space="preserve">mention </w:t>
      </w:r>
      <w:r w:rsidR="00215CDB">
        <w:t>LGBTI or transgender people</w:t>
      </w:r>
      <w:r>
        <w:t xml:space="preserve"> in their narrative analysis</w:t>
      </w:r>
      <w:r w:rsidR="004E17F7">
        <w:t>; the remainder do not.</w:t>
      </w:r>
      <w:r>
        <w:t xml:space="preserve">   This report reviews the Gender with Age Marker results for the 45 project</w:t>
      </w:r>
      <w:r w:rsidR="00B1350A">
        <w:t>s</w:t>
      </w:r>
      <w:r w:rsidR="00C91D50">
        <w:t xml:space="preserve"> with explicit reference to SOGI</w:t>
      </w:r>
      <w:r>
        <w:t>.</w:t>
      </w:r>
    </w:p>
    <w:p w:rsidR="00C0300F" w:rsidRDefault="00215CDB" w:rsidP="00C030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45 GAM submissions </w:t>
      </w:r>
      <w:r w:rsidR="004E17F7">
        <w:rPr>
          <w:rFonts w:ascii="Calibri" w:hAnsi="Calibri" w:cs="Calibri"/>
        </w:rPr>
        <w:t>addressing</w:t>
      </w:r>
      <w:r>
        <w:rPr>
          <w:rFonts w:ascii="Calibri" w:hAnsi="Calibri" w:cs="Calibri"/>
        </w:rPr>
        <w:t xml:space="preserve"> diverse SOGI are for the project design phase.</w:t>
      </w:r>
      <w:r w:rsidR="00103CD6">
        <w:rPr>
          <w:rFonts w:ascii="Calibri" w:hAnsi="Calibri" w:cs="Calibri"/>
        </w:rPr>
        <w:t xml:space="preserve">  </w:t>
      </w:r>
      <w:r w:rsidR="004E17F7">
        <w:rPr>
          <w:rFonts w:ascii="Calibri" w:hAnsi="Calibri" w:cs="Calibri"/>
        </w:rPr>
        <w:t xml:space="preserve">Country and agency distribution </w:t>
      </w:r>
      <w:proofErr w:type="gramStart"/>
      <w:r w:rsidR="004E17F7">
        <w:rPr>
          <w:rFonts w:ascii="Calibri" w:hAnsi="Calibri" w:cs="Calibri"/>
        </w:rPr>
        <w:t>is</w:t>
      </w:r>
      <w:proofErr w:type="gramEnd"/>
      <w:r w:rsidR="0074553A">
        <w:rPr>
          <w:rFonts w:ascii="Calibri" w:hAnsi="Calibri" w:cs="Calibri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38"/>
        <w:gridCol w:w="337"/>
        <w:gridCol w:w="1843"/>
        <w:gridCol w:w="938"/>
      </w:tblGrid>
      <w:tr w:rsidR="004E17F7" w:rsidTr="004E17F7">
        <w:tc>
          <w:tcPr>
            <w:tcW w:w="2122" w:type="dxa"/>
            <w:vAlign w:val="center"/>
          </w:tcPr>
          <w:p w:rsidR="004E17F7" w:rsidRDefault="004E17F7" w:rsidP="00DA4AED">
            <w:r>
              <w:t>Country</w:t>
            </w:r>
          </w:p>
        </w:tc>
        <w:tc>
          <w:tcPr>
            <w:tcW w:w="938" w:type="dxa"/>
            <w:vAlign w:val="center"/>
          </w:tcPr>
          <w:p w:rsidR="004E17F7" w:rsidRDefault="004E17F7" w:rsidP="00DA4AED">
            <w:pPr>
              <w:jc w:val="center"/>
            </w:pPr>
            <w:r>
              <w:t># of Projects</w:t>
            </w:r>
          </w:p>
        </w:tc>
        <w:tc>
          <w:tcPr>
            <w:tcW w:w="337" w:type="dxa"/>
            <w:vAlign w:val="center"/>
          </w:tcPr>
          <w:p w:rsidR="004E17F7" w:rsidRDefault="004E17F7" w:rsidP="00DA4AED"/>
        </w:tc>
        <w:tc>
          <w:tcPr>
            <w:tcW w:w="1843" w:type="dxa"/>
            <w:vAlign w:val="center"/>
          </w:tcPr>
          <w:p w:rsidR="004E17F7" w:rsidRDefault="004E17F7" w:rsidP="00DA4AED">
            <w:r>
              <w:t>Country</w:t>
            </w:r>
          </w:p>
        </w:tc>
        <w:tc>
          <w:tcPr>
            <w:tcW w:w="851" w:type="dxa"/>
            <w:vAlign w:val="center"/>
          </w:tcPr>
          <w:p w:rsidR="004E17F7" w:rsidRDefault="004E17F7" w:rsidP="00DA4AED">
            <w:pPr>
              <w:jc w:val="center"/>
            </w:pPr>
            <w:r>
              <w:t># of Projects</w:t>
            </w:r>
          </w:p>
        </w:tc>
      </w:tr>
      <w:tr w:rsidR="004E17F7" w:rsidTr="004E17F7">
        <w:tc>
          <w:tcPr>
            <w:tcW w:w="2122" w:type="dxa"/>
            <w:vAlign w:val="center"/>
          </w:tcPr>
          <w:p w:rsidR="004E17F7" w:rsidRDefault="004E17F7" w:rsidP="00DA4AED">
            <w:r>
              <w:t>Argentina</w:t>
            </w:r>
          </w:p>
        </w:tc>
        <w:tc>
          <w:tcPr>
            <w:tcW w:w="938" w:type="dxa"/>
            <w:vAlign w:val="center"/>
          </w:tcPr>
          <w:p w:rsidR="004E17F7" w:rsidRDefault="004E17F7" w:rsidP="00DA4AED">
            <w:pPr>
              <w:jc w:val="center"/>
            </w:pPr>
            <w:r>
              <w:t>5</w:t>
            </w:r>
          </w:p>
        </w:tc>
        <w:tc>
          <w:tcPr>
            <w:tcW w:w="337" w:type="dxa"/>
            <w:vAlign w:val="center"/>
          </w:tcPr>
          <w:p w:rsidR="004E17F7" w:rsidRDefault="004E17F7" w:rsidP="00DA4AED"/>
        </w:tc>
        <w:tc>
          <w:tcPr>
            <w:tcW w:w="1843" w:type="dxa"/>
            <w:vAlign w:val="center"/>
          </w:tcPr>
          <w:p w:rsidR="004E17F7" w:rsidRDefault="004E17F7" w:rsidP="00DA4AED">
            <w:r>
              <w:t>Jordan</w:t>
            </w:r>
          </w:p>
        </w:tc>
        <w:tc>
          <w:tcPr>
            <w:tcW w:w="851" w:type="dxa"/>
            <w:vAlign w:val="center"/>
          </w:tcPr>
          <w:p w:rsidR="004E17F7" w:rsidRDefault="004E17F7" w:rsidP="00DA4AED">
            <w:pPr>
              <w:jc w:val="center"/>
            </w:pPr>
            <w:r>
              <w:t>2</w:t>
            </w:r>
          </w:p>
        </w:tc>
      </w:tr>
      <w:tr w:rsidR="004E17F7" w:rsidTr="004E17F7">
        <w:tc>
          <w:tcPr>
            <w:tcW w:w="2122" w:type="dxa"/>
            <w:vAlign w:val="center"/>
          </w:tcPr>
          <w:p w:rsidR="004E17F7" w:rsidRDefault="004E17F7" w:rsidP="00DA4AED">
            <w:r>
              <w:t>BD</w:t>
            </w:r>
          </w:p>
        </w:tc>
        <w:tc>
          <w:tcPr>
            <w:tcW w:w="938" w:type="dxa"/>
            <w:vAlign w:val="center"/>
          </w:tcPr>
          <w:p w:rsidR="004E17F7" w:rsidRDefault="004E17F7" w:rsidP="00DA4AED">
            <w:pPr>
              <w:jc w:val="center"/>
            </w:pPr>
            <w:r>
              <w:t>5</w:t>
            </w:r>
          </w:p>
        </w:tc>
        <w:tc>
          <w:tcPr>
            <w:tcW w:w="337" w:type="dxa"/>
            <w:vAlign w:val="center"/>
          </w:tcPr>
          <w:p w:rsidR="004E17F7" w:rsidRDefault="004E17F7" w:rsidP="00DA4AED"/>
        </w:tc>
        <w:tc>
          <w:tcPr>
            <w:tcW w:w="1843" w:type="dxa"/>
            <w:vAlign w:val="center"/>
          </w:tcPr>
          <w:p w:rsidR="004E17F7" w:rsidRDefault="004E17F7" w:rsidP="00DA4AED">
            <w:r>
              <w:t>Lebanon</w:t>
            </w:r>
          </w:p>
        </w:tc>
        <w:tc>
          <w:tcPr>
            <w:tcW w:w="851" w:type="dxa"/>
            <w:vAlign w:val="center"/>
          </w:tcPr>
          <w:p w:rsidR="004E17F7" w:rsidRDefault="004E17F7" w:rsidP="00DA4AED">
            <w:pPr>
              <w:jc w:val="center"/>
            </w:pPr>
            <w:r>
              <w:t>1</w:t>
            </w:r>
          </w:p>
        </w:tc>
      </w:tr>
      <w:tr w:rsidR="004E17F7" w:rsidTr="004E17F7">
        <w:tc>
          <w:tcPr>
            <w:tcW w:w="2122" w:type="dxa"/>
            <w:vAlign w:val="center"/>
          </w:tcPr>
          <w:p w:rsidR="004E17F7" w:rsidRDefault="004E17F7" w:rsidP="00DA4AED">
            <w:r>
              <w:t>Bolivia</w:t>
            </w:r>
          </w:p>
        </w:tc>
        <w:tc>
          <w:tcPr>
            <w:tcW w:w="938" w:type="dxa"/>
            <w:vAlign w:val="center"/>
          </w:tcPr>
          <w:p w:rsidR="004E17F7" w:rsidRDefault="004E17F7" w:rsidP="00DA4AED">
            <w:pPr>
              <w:jc w:val="center"/>
            </w:pPr>
            <w:r>
              <w:t>1</w:t>
            </w:r>
          </w:p>
        </w:tc>
        <w:tc>
          <w:tcPr>
            <w:tcW w:w="337" w:type="dxa"/>
            <w:vAlign w:val="center"/>
          </w:tcPr>
          <w:p w:rsidR="004E17F7" w:rsidRDefault="004E17F7" w:rsidP="00DA4AED"/>
        </w:tc>
        <w:tc>
          <w:tcPr>
            <w:tcW w:w="1843" w:type="dxa"/>
            <w:vAlign w:val="center"/>
          </w:tcPr>
          <w:p w:rsidR="004E17F7" w:rsidRDefault="004E17F7" w:rsidP="00DA4AED">
            <w:r>
              <w:t>Myanmar</w:t>
            </w:r>
          </w:p>
        </w:tc>
        <w:tc>
          <w:tcPr>
            <w:tcW w:w="851" w:type="dxa"/>
            <w:vAlign w:val="center"/>
          </w:tcPr>
          <w:p w:rsidR="004E17F7" w:rsidRDefault="004E17F7" w:rsidP="00DA4AED">
            <w:pPr>
              <w:jc w:val="center"/>
            </w:pPr>
            <w:r>
              <w:t>1</w:t>
            </w:r>
          </w:p>
        </w:tc>
      </w:tr>
      <w:tr w:rsidR="004E17F7" w:rsidTr="004E17F7">
        <w:tc>
          <w:tcPr>
            <w:tcW w:w="2122" w:type="dxa"/>
            <w:vAlign w:val="center"/>
          </w:tcPr>
          <w:p w:rsidR="004E17F7" w:rsidRDefault="004E17F7" w:rsidP="00DA4AED">
            <w:r>
              <w:t>Brazil</w:t>
            </w:r>
          </w:p>
        </w:tc>
        <w:tc>
          <w:tcPr>
            <w:tcW w:w="938" w:type="dxa"/>
            <w:vAlign w:val="center"/>
          </w:tcPr>
          <w:p w:rsidR="004E17F7" w:rsidRDefault="004E17F7" w:rsidP="00DA4AED">
            <w:pPr>
              <w:jc w:val="center"/>
            </w:pPr>
            <w:r>
              <w:t>3</w:t>
            </w:r>
          </w:p>
        </w:tc>
        <w:tc>
          <w:tcPr>
            <w:tcW w:w="337" w:type="dxa"/>
            <w:vAlign w:val="center"/>
          </w:tcPr>
          <w:p w:rsidR="004E17F7" w:rsidRDefault="004E17F7" w:rsidP="00DA4AED"/>
        </w:tc>
        <w:tc>
          <w:tcPr>
            <w:tcW w:w="1843" w:type="dxa"/>
            <w:vAlign w:val="center"/>
          </w:tcPr>
          <w:p w:rsidR="004E17F7" w:rsidRDefault="004E17F7" w:rsidP="00DA4AED">
            <w:r>
              <w:t>Panama</w:t>
            </w:r>
          </w:p>
        </w:tc>
        <w:tc>
          <w:tcPr>
            <w:tcW w:w="851" w:type="dxa"/>
            <w:vAlign w:val="center"/>
          </w:tcPr>
          <w:p w:rsidR="004E17F7" w:rsidRDefault="004E17F7" w:rsidP="00DA4AED">
            <w:pPr>
              <w:jc w:val="center"/>
            </w:pPr>
            <w:r>
              <w:t>3</w:t>
            </w:r>
          </w:p>
        </w:tc>
      </w:tr>
      <w:tr w:rsidR="004E17F7" w:rsidTr="004E17F7">
        <w:tc>
          <w:tcPr>
            <w:tcW w:w="2122" w:type="dxa"/>
            <w:vAlign w:val="center"/>
          </w:tcPr>
          <w:p w:rsidR="004E17F7" w:rsidRDefault="004E17F7" w:rsidP="00DA4AED">
            <w:r>
              <w:t>Chile</w:t>
            </w:r>
          </w:p>
        </w:tc>
        <w:tc>
          <w:tcPr>
            <w:tcW w:w="938" w:type="dxa"/>
            <w:vAlign w:val="center"/>
          </w:tcPr>
          <w:p w:rsidR="004E17F7" w:rsidRDefault="004E17F7" w:rsidP="00DA4AED">
            <w:pPr>
              <w:jc w:val="center"/>
            </w:pPr>
            <w:r>
              <w:t>2</w:t>
            </w:r>
          </w:p>
        </w:tc>
        <w:tc>
          <w:tcPr>
            <w:tcW w:w="337" w:type="dxa"/>
            <w:vAlign w:val="center"/>
          </w:tcPr>
          <w:p w:rsidR="004E17F7" w:rsidRDefault="004E17F7" w:rsidP="00DA4AED"/>
        </w:tc>
        <w:tc>
          <w:tcPr>
            <w:tcW w:w="1843" w:type="dxa"/>
            <w:vAlign w:val="center"/>
          </w:tcPr>
          <w:p w:rsidR="004E17F7" w:rsidRDefault="004E17F7" w:rsidP="00DA4AED">
            <w:r>
              <w:t>Peru</w:t>
            </w:r>
          </w:p>
        </w:tc>
        <w:tc>
          <w:tcPr>
            <w:tcW w:w="851" w:type="dxa"/>
            <w:vAlign w:val="center"/>
          </w:tcPr>
          <w:p w:rsidR="004E17F7" w:rsidRDefault="004E17F7" w:rsidP="00DA4AED">
            <w:pPr>
              <w:jc w:val="center"/>
            </w:pPr>
            <w:r>
              <w:t>1</w:t>
            </w:r>
          </w:p>
        </w:tc>
      </w:tr>
      <w:tr w:rsidR="004E17F7" w:rsidTr="004E17F7">
        <w:tc>
          <w:tcPr>
            <w:tcW w:w="2122" w:type="dxa"/>
            <w:vAlign w:val="center"/>
          </w:tcPr>
          <w:p w:rsidR="004E17F7" w:rsidRDefault="004E17F7" w:rsidP="00DA4AED">
            <w:r>
              <w:t>Colombia</w:t>
            </w:r>
          </w:p>
        </w:tc>
        <w:tc>
          <w:tcPr>
            <w:tcW w:w="938" w:type="dxa"/>
            <w:vAlign w:val="center"/>
          </w:tcPr>
          <w:p w:rsidR="004E17F7" w:rsidRDefault="004E17F7" w:rsidP="00DA4AED">
            <w:pPr>
              <w:jc w:val="center"/>
            </w:pPr>
            <w:r>
              <w:t>2</w:t>
            </w:r>
          </w:p>
        </w:tc>
        <w:tc>
          <w:tcPr>
            <w:tcW w:w="337" w:type="dxa"/>
            <w:vAlign w:val="center"/>
          </w:tcPr>
          <w:p w:rsidR="004E17F7" w:rsidRDefault="004E17F7" w:rsidP="00DA4AED"/>
        </w:tc>
        <w:tc>
          <w:tcPr>
            <w:tcW w:w="1843" w:type="dxa"/>
            <w:vAlign w:val="center"/>
          </w:tcPr>
          <w:p w:rsidR="004E17F7" w:rsidRDefault="004E17F7" w:rsidP="00DA4AED">
            <w:r>
              <w:t>Paraguay</w:t>
            </w:r>
          </w:p>
        </w:tc>
        <w:tc>
          <w:tcPr>
            <w:tcW w:w="851" w:type="dxa"/>
            <w:vAlign w:val="center"/>
          </w:tcPr>
          <w:p w:rsidR="004E17F7" w:rsidRDefault="004E17F7" w:rsidP="00DA4AED">
            <w:pPr>
              <w:jc w:val="center"/>
            </w:pPr>
            <w:r>
              <w:t>1</w:t>
            </w:r>
          </w:p>
        </w:tc>
      </w:tr>
      <w:tr w:rsidR="004E17F7" w:rsidTr="004E17F7">
        <w:tc>
          <w:tcPr>
            <w:tcW w:w="2122" w:type="dxa"/>
            <w:vAlign w:val="center"/>
          </w:tcPr>
          <w:p w:rsidR="004E17F7" w:rsidRDefault="004E17F7" w:rsidP="00DA4AED">
            <w:r>
              <w:t>Costa Rica</w:t>
            </w:r>
          </w:p>
        </w:tc>
        <w:tc>
          <w:tcPr>
            <w:tcW w:w="938" w:type="dxa"/>
            <w:vAlign w:val="center"/>
          </w:tcPr>
          <w:p w:rsidR="004E17F7" w:rsidRDefault="004E17F7" w:rsidP="00DA4AED">
            <w:pPr>
              <w:jc w:val="center"/>
            </w:pPr>
            <w:r>
              <w:t>1</w:t>
            </w:r>
          </w:p>
        </w:tc>
        <w:tc>
          <w:tcPr>
            <w:tcW w:w="337" w:type="dxa"/>
            <w:vAlign w:val="center"/>
          </w:tcPr>
          <w:p w:rsidR="004E17F7" w:rsidRDefault="004E17F7" w:rsidP="00DA4AED"/>
        </w:tc>
        <w:tc>
          <w:tcPr>
            <w:tcW w:w="1843" w:type="dxa"/>
            <w:vAlign w:val="center"/>
          </w:tcPr>
          <w:p w:rsidR="004E17F7" w:rsidRDefault="004E17F7" w:rsidP="00DA4AED">
            <w:r>
              <w:t>Serbia</w:t>
            </w:r>
          </w:p>
        </w:tc>
        <w:tc>
          <w:tcPr>
            <w:tcW w:w="851" w:type="dxa"/>
            <w:vAlign w:val="center"/>
          </w:tcPr>
          <w:p w:rsidR="004E17F7" w:rsidRDefault="004E17F7" w:rsidP="00DA4AED">
            <w:pPr>
              <w:jc w:val="center"/>
            </w:pPr>
            <w:r>
              <w:t>1</w:t>
            </w:r>
          </w:p>
        </w:tc>
      </w:tr>
      <w:tr w:rsidR="004E17F7" w:rsidTr="004E17F7">
        <w:tc>
          <w:tcPr>
            <w:tcW w:w="2122" w:type="dxa"/>
            <w:vAlign w:val="center"/>
          </w:tcPr>
          <w:p w:rsidR="004E17F7" w:rsidRDefault="004E17F7" w:rsidP="00DA4AED">
            <w:r>
              <w:t>Dominican Republic</w:t>
            </w:r>
          </w:p>
        </w:tc>
        <w:tc>
          <w:tcPr>
            <w:tcW w:w="938" w:type="dxa"/>
            <w:vAlign w:val="center"/>
          </w:tcPr>
          <w:p w:rsidR="004E17F7" w:rsidRDefault="004E17F7" w:rsidP="00DA4AED">
            <w:pPr>
              <w:jc w:val="center"/>
            </w:pPr>
            <w:r>
              <w:t>1</w:t>
            </w:r>
          </w:p>
        </w:tc>
        <w:tc>
          <w:tcPr>
            <w:tcW w:w="337" w:type="dxa"/>
            <w:vAlign w:val="center"/>
          </w:tcPr>
          <w:p w:rsidR="004E17F7" w:rsidRDefault="004E17F7" w:rsidP="00DA4AED"/>
        </w:tc>
        <w:tc>
          <w:tcPr>
            <w:tcW w:w="1843" w:type="dxa"/>
            <w:vAlign w:val="center"/>
          </w:tcPr>
          <w:p w:rsidR="004E17F7" w:rsidRDefault="004E17F7" w:rsidP="00DA4AED">
            <w:r>
              <w:t>Syria</w:t>
            </w:r>
          </w:p>
        </w:tc>
        <w:tc>
          <w:tcPr>
            <w:tcW w:w="851" w:type="dxa"/>
            <w:vAlign w:val="center"/>
          </w:tcPr>
          <w:p w:rsidR="004E17F7" w:rsidRDefault="004E17F7" w:rsidP="00DA4AED">
            <w:pPr>
              <w:jc w:val="center"/>
            </w:pPr>
            <w:r>
              <w:t>1</w:t>
            </w:r>
          </w:p>
        </w:tc>
      </w:tr>
      <w:tr w:rsidR="004E17F7" w:rsidTr="004E17F7">
        <w:tc>
          <w:tcPr>
            <w:tcW w:w="2122" w:type="dxa"/>
            <w:vAlign w:val="center"/>
          </w:tcPr>
          <w:p w:rsidR="004E17F7" w:rsidRDefault="004E17F7" w:rsidP="00DA4AED">
            <w:r>
              <w:t>Ecuador</w:t>
            </w:r>
          </w:p>
        </w:tc>
        <w:tc>
          <w:tcPr>
            <w:tcW w:w="938" w:type="dxa"/>
            <w:vAlign w:val="center"/>
          </w:tcPr>
          <w:p w:rsidR="004E17F7" w:rsidRDefault="004E17F7" w:rsidP="00DA4AED">
            <w:pPr>
              <w:jc w:val="center"/>
            </w:pPr>
            <w:r>
              <w:t>3</w:t>
            </w:r>
          </w:p>
        </w:tc>
        <w:tc>
          <w:tcPr>
            <w:tcW w:w="337" w:type="dxa"/>
            <w:vAlign w:val="center"/>
          </w:tcPr>
          <w:p w:rsidR="004E17F7" w:rsidRDefault="004E17F7" w:rsidP="00DA4AED"/>
        </w:tc>
        <w:tc>
          <w:tcPr>
            <w:tcW w:w="1843" w:type="dxa"/>
            <w:vAlign w:val="center"/>
          </w:tcPr>
          <w:p w:rsidR="004E17F7" w:rsidRDefault="004E17F7" w:rsidP="00DA4AED">
            <w:r>
              <w:t>Uruguay</w:t>
            </w:r>
          </w:p>
        </w:tc>
        <w:tc>
          <w:tcPr>
            <w:tcW w:w="851" w:type="dxa"/>
            <w:vAlign w:val="center"/>
          </w:tcPr>
          <w:p w:rsidR="004E17F7" w:rsidRDefault="004E17F7" w:rsidP="00DA4AED">
            <w:pPr>
              <w:jc w:val="center"/>
            </w:pPr>
            <w:r>
              <w:t>3</w:t>
            </w:r>
          </w:p>
        </w:tc>
      </w:tr>
      <w:tr w:rsidR="004E17F7" w:rsidTr="004E17F7">
        <w:tc>
          <w:tcPr>
            <w:tcW w:w="2122" w:type="dxa"/>
            <w:vAlign w:val="center"/>
          </w:tcPr>
          <w:p w:rsidR="004E17F7" w:rsidRDefault="004E17F7" w:rsidP="00DA4AED">
            <w:r>
              <w:t>Iraq</w:t>
            </w:r>
          </w:p>
        </w:tc>
        <w:tc>
          <w:tcPr>
            <w:tcW w:w="938" w:type="dxa"/>
            <w:vAlign w:val="center"/>
          </w:tcPr>
          <w:p w:rsidR="004E17F7" w:rsidRDefault="00E3546E" w:rsidP="00DA4AED">
            <w:pPr>
              <w:jc w:val="center"/>
            </w:pPr>
            <w:r>
              <w:t>4</w:t>
            </w:r>
          </w:p>
        </w:tc>
        <w:tc>
          <w:tcPr>
            <w:tcW w:w="337" w:type="dxa"/>
            <w:vAlign w:val="center"/>
          </w:tcPr>
          <w:p w:rsidR="004E17F7" w:rsidRDefault="004E17F7" w:rsidP="00DA4AED"/>
        </w:tc>
        <w:tc>
          <w:tcPr>
            <w:tcW w:w="1843" w:type="dxa"/>
            <w:vAlign w:val="center"/>
          </w:tcPr>
          <w:p w:rsidR="004E17F7" w:rsidRDefault="004E17F7" w:rsidP="00DA4AED">
            <w:r>
              <w:t>Venezuela</w:t>
            </w:r>
          </w:p>
        </w:tc>
        <w:tc>
          <w:tcPr>
            <w:tcW w:w="851" w:type="dxa"/>
            <w:vAlign w:val="center"/>
          </w:tcPr>
          <w:p w:rsidR="004E17F7" w:rsidRDefault="004E17F7" w:rsidP="00DA4AED">
            <w:pPr>
              <w:jc w:val="center"/>
            </w:pPr>
            <w:r>
              <w:t>4</w:t>
            </w:r>
          </w:p>
        </w:tc>
      </w:tr>
    </w:tbl>
    <w:p w:rsidR="004E17F7" w:rsidRDefault="004E17F7" w:rsidP="00C0300F">
      <w:pPr>
        <w:rPr>
          <w:rFonts w:ascii="Calibri" w:hAnsi="Calibri" w:cs="Calibr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91"/>
        <w:gridCol w:w="1014"/>
        <w:gridCol w:w="4961"/>
        <w:gridCol w:w="2552"/>
      </w:tblGrid>
      <w:tr w:rsidR="00C0300F" w:rsidTr="0074553A">
        <w:tc>
          <w:tcPr>
            <w:tcW w:w="1391" w:type="dxa"/>
            <w:vAlign w:val="center"/>
          </w:tcPr>
          <w:p w:rsidR="00C0300F" w:rsidRPr="00C0300F" w:rsidRDefault="00C0300F" w:rsidP="00C0300F">
            <w:pPr>
              <w:jc w:val="center"/>
              <w:rPr>
                <w:rFonts w:cstheme="minorHAnsi"/>
                <w:b/>
                <w:bCs/>
              </w:rPr>
            </w:pPr>
            <w:r w:rsidRPr="00C0300F">
              <w:rPr>
                <w:rFonts w:cstheme="minorHAnsi"/>
                <w:b/>
                <w:bCs/>
              </w:rPr>
              <w:t>Organization</w:t>
            </w:r>
          </w:p>
        </w:tc>
        <w:tc>
          <w:tcPr>
            <w:tcW w:w="1014" w:type="dxa"/>
            <w:vAlign w:val="center"/>
          </w:tcPr>
          <w:p w:rsidR="00C0300F" w:rsidRPr="00C0300F" w:rsidRDefault="00C0300F" w:rsidP="00C0300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#</w:t>
            </w:r>
            <w:r w:rsidRPr="00C0300F">
              <w:rPr>
                <w:rFonts w:cstheme="minorHAnsi"/>
                <w:b/>
                <w:bCs/>
              </w:rPr>
              <w:t xml:space="preserve"> of Projects</w:t>
            </w:r>
          </w:p>
        </w:tc>
        <w:tc>
          <w:tcPr>
            <w:tcW w:w="4961" w:type="dxa"/>
            <w:vAlign w:val="center"/>
          </w:tcPr>
          <w:p w:rsidR="00C0300F" w:rsidRPr="00C0300F" w:rsidRDefault="00C0300F" w:rsidP="00C0300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# </w:t>
            </w:r>
            <w:r w:rsidR="00E3546E">
              <w:rPr>
                <w:rFonts w:cstheme="minorHAnsi"/>
                <w:b/>
                <w:bCs/>
              </w:rPr>
              <w:t>Project</w:t>
            </w:r>
            <w:r w:rsidRPr="00C0300F">
              <w:rPr>
                <w:rFonts w:cstheme="minorHAnsi"/>
                <w:b/>
                <w:bCs/>
              </w:rPr>
              <w:t>s in LAC</w:t>
            </w:r>
          </w:p>
        </w:tc>
        <w:tc>
          <w:tcPr>
            <w:tcW w:w="2552" w:type="dxa"/>
            <w:vAlign w:val="center"/>
          </w:tcPr>
          <w:p w:rsidR="00C0300F" w:rsidRPr="00C0300F" w:rsidRDefault="00C0300F" w:rsidP="00C0300F">
            <w:pPr>
              <w:jc w:val="center"/>
              <w:rPr>
                <w:rFonts w:cstheme="minorHAnsi"/>
                <w:b/>
                <w:bCs/>
              </w:rPr>
            </w:pPr>
            <w:r w:rsidRPr="00C0300F">
              <w:rPr>
                <w:rFonts w:cstheme="minorHAnsi"/>
                <w:b/>
                <w:bCs/>
              </w:rPr>
              <w:t>Other countries</w:t>
            </w:r>
          </w:p>
        </w:tc>
      </w:tr>
      <w:tr w:rsidR="00C0300F" w:rsidTr="0074553A">
        <w:tc>
          <w:tcPr>
            <w:tcW w:w="1391" w:type="dxa"/>
            <w:vAlign w:val="center"/>
          </w:tcPr>
          <w:p w:rsidR="00C0300F" w:rsidRPr="00C0300F" w:rsidRDefault="00C0300F" w:rsidP="00215CDB">
            <w:pPr>
              <w:rPr>
                <w:rFonts w:cstheme="minorHAnsi"/>
              </w:rPr>
            </w:pPr>
            <w:r w:rsidRPr="00C0300F">
              <w:rPr>
                <w:rFonts w:cstheme="minorHAnsi"/>
              </w:rPr>
              <w:t>UNHCR</w:t>
            </w:r>
          </w:p>
        </w:tc>
        <w:tc>
          <w:tcPr>
            <w:tcW w:w="1014" w:type="dxa"/>
            <w:vAlign w:val="center"/>
          </w:tcPr>
          <w:p w:rsidR="00C0300F" w:rsidRPr="00C0300F" w:rsidRDefault="00C0300F" w:rsidP="00C0300F">
            <w:pPr>
              <w:jc w:val="center"/>
              <w:rPr>
                <w:rFonts w:cstheme="minorHAnsi"/>
              </w:rPr>
            </w:pPr>
            <w:r w:rsidRPr="00C0300F">
              <w:rPr>
                <w:rFonts w:cstheme="minorHAnsi"/>
              </w:rPr>
              <w:t>1</w:t>
            </w:r>
            <w:r w:rsidR="00E3546E">
              <w:rPr>
                <w:rFonts w:cstheme="minorHAnsi"/>
              </w:rPr>
              <w:t>6</w:t>
            </w:r>
          </w:p>
        </w:tc>
        <w:tc>
          <w:tcPr>
            <w:tcW w:w="4961" w:type="dxa"/>
            <w:vAlign w:val="center"/>
          </w:tcPr>
          <w:p w:rsidR="00C0300F" w:rsidRPr="00BA0ABB" w:rsidRDefault="00E3546E" w:rsidP="00E3546E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10</w:t>
            </w:r>
            <w:proofErr w:type="gramStart"/>
            <w:r>
              <w:rPr>
                <w:rFonts w:cstheme="minorHAnsi"/>
                <w:lang w:val="es-ES"/>
              </w:rPr>
              <w:t xml:space="preserve">: </w:t>
            </w:r>
            <w:r w:rsidR="00BA0ABB" w:rsidRPr="00BA0ABB">
              <w:rPr>
                <w:rFonts w:cstheme="minorHAnsi"/>
                <w:lang w:val="es-ES"/>
              </w:rPr>
              <w:t xml:space="preserve"> (</w:t>
            </w:r>
            <w:proofErr w:type="spellStart"/>
            <w:proofErr w:type="gramEnd"/>
            <w:r w:rsidR="00BA0ABB">
              <w:rPr>
                <w:rFonts w:cstheme="minorHAnsi"/>
                <w:lang w:val="es-ES"/>
              </w:rPr>
              <w:t>Brazil</w:t>
            </w:r>
            <w:proofErr w:type="spellEnd"/>
            <w:r w:rsidR="00BA0ABB">
              <w:rPr>
                <w:rFonts w:cstheme="minorHAnsi"/>
                <w:lang w:val="es-ES"/>
              </w:rPr>
              <w:t xml:space="preserve"> (3,) </w:t>
            </w:r>
            <w:r>
              <w:rPr>
                <w:rFonts w:cstheme="minorHAnsi"/>
                <w:lang w:val="es-ES"/>
              </w:rPr>
              <w:t xml:space="preserve">Chile, </w:t>
            </w:r>
            <w:r w:rsidR="00BA0ABB" w:rsidRPr="00BA0ABB">
              <w:rPr>
                <w:rFonts w:cstheme="minorHAnsi"/>
                <w:lang w:val="es-ES"/>
              </w:rPr>
              <w:t xml:space="preserve">Colombia, </w:t>
            </w:r>
            <w:proofErr w:type="spellStart"/>
            <w:r w:rsidR="00BA0ABB" w:rsidRPr="00BA0ABB">
              <w:rPr>
                <w:rFonts w:cstheme="minorHAnsi"/>
                <w:lang w:val="es-ES"/>
              </w:rPr>
              <w:t>Dominican</w:t>
            </w:r>
            <w:proofErr w:type="spellEnd"/>
            <w:r w:rsidR="00BA0ABB" w:rsidRPr="00BA0ABB">
              <w:rPr>
                <w:rFonts w:cstheme="minorHAnsi"/>
                <w:lang w:val="es-ES"/>
              </w:rPr>
              <w:t xml:space="preserve"> </w:t>
            </w:r>
            <w:proofErr w:type="spellStart"/>
            <w:r w:rsidR="00BA0ABB" w:rsidRPr="00BA0ABB">
              <w:rPr>
                <w:rFonts w:cstheme="minorHAnsi"/>
                <w:lang w:val="es-ES"/>
              </w:rPr>
              <w:t>Rep</w:t>
            </w:r>
            <w:proofErr w:type="spellEnd"/>
            <w:r w:rsidR="00BA0ABB" w:rsidRPr="00BA0ABB">
              <w:rPr>
                <w:rFonts w:cstheme="minorHAnsi"/>
                <w:lang w:val="es-ES"/>
              </w:rPr>
              <w:t xml:space="preserve">, </w:t>
            </w:r>
            <w:r>
              <w:rPr>
                <w:rFonts w:cstheme="minorHAnsi"/>
                <w:lang w:val="es-ES"/>
              </w:rPr>
              <w:t xml:space="preserve"> </w:t>
            </w:r>
            <w:r w:rsidR="00BA0ABB" w:rsidRPr="00BA0ABB">
              <w:rPr>
                <w:rFonts w:cstheme="minorHAnsi"/>
                <w:lang w:val="es-ES"/>
              </w:rPr>
              <w:t xml:space="preserve">Ecuador (2,) </w:t>
            </w:r>
            <w:proofErr w:type="spellStart"/>
            <w:r w:rsidR="00BA0ABB" w:rsidRPr="00BA0ABB">
              <w:rPr>
                <w:rFonts w:cstheme="minorHAnsi"/>
                <w:lang w:val="es-ES"/>
              </w:rPr>
              <w:t>P</w:t>
            </w:r>
            <w:r w:rsidR="00BA0ABB">
              <w:rPr>
                <w:rFonts w:cstheme="minorHAnsi"/>
                <w:lang w:val="es-ES"/>
              </w:rPr>
              <w:t>anama</w:t>
            </w:r>
            <w:proofErr w:type="spellEnd"/>
            <w:r w:rsidR="00BA0ABB">
              <w:rPr>
                <w:rFonts w:cstheme="minorHAnsi"/>
                <w:lang w:val="es-ES"/>
              </w:rPr>
              <w:t>, Uruguay</w:t>
            </w:r>
          </w:p>
        </w:tc>
        <w:tc>
          <w:tcPr>
            <w:tcW w:w="2552" w:type="dxa"/>
            <w:vAlign w:val="center"/>
          </w:tcPr>
          <w:p w:rsidR="00C0300F" w:rsidRPr="00C0300F" w:rsidRDefault="00C0300F" w:rsidP="00215CDB">
            <w:pPr>
              <w:rPr>
                <w:rFonts w:cstheme="minorHAnsi"/>
              </w:rPr>
            </w:pPr>
            <w:r w:rsidRPr="00C0300F">
              <w:rPr>
                <w:rFonts w:cstheme="minorHAnsi"/>
              </w:rPr>
              <w:t>Bangladesh</w:t>
            </w:r>
            <w:r w:rsidR="00653137">
              <w:rPr>
                <w:rFonts w:cstheme="minorHAnsi"/>
              </w:rPr>
              <w:t xml:space="preserve"> (3)</w:t>
            </w:r>
            <w:r w:rsidRPr="00C0300F">
              <w:rPr>
                <w:rFonts w:cstheme="minorHAnsi"/>
              </w:rPr>
              <w:t>, Iraq</w:t>
            </w:r>
            <w:r w:rsidR="00653137">
              <w:rPr>
                <w:rFonts w:cstheme="minorHAnsi"/>
              </w:rPr>
              <w:t xml:space="preserve"> (2)</w:t>
            </w:r>
            <w:r w:rsidRPr="00C0300F">
              <w:rPr>
                <w:rFonts w:cstheme="minorHAnsi"/>
              </w:rPr>
              <w:t xml:space="preserve">, Serbia </w:t>
            </w:r>
            <w:r w:rsidR="00653137">
              <w:rPr>
                <w:rFonts w:cstheme="minorHAnsi"/>
              </w:rPr>
              <w:t>(1)</w:t>
            </w:r>
          </w:p>
        </w:tc>
      </w:tr>
      <w:tr w:rsidR="00C0300F" w:rsidRPr="00E3546E" w:rsidTr="0074553A">
        <w:tc>
          <w:tcPr>
            <w:tcW w:w="1391" w:type="dxa"/>
            <w:vAlign w:val="center"/>
          </w:tcPr>
          <w:p w:rsidR="00C0300F" w:rsidRPr="00C0300F" w:rsidRDefault="00C0300F" w:rsidP="00215CDB">
            <w:pPr>
              <w:rPr>
                <w:rFonts w:cstheme="minorHAnsi"/>
              </w:rPr>
            </w:pPr>
            <w:r w:rsidRPr="00C0300F">
              <w:rPr>
                <w:rFonts w:cstheme="minorHAnsi"/>
              </w:rPr>
              <w:t>UNAIDS</w:t>
            </w:r>
          </w:p>
        </w:tc>
        <w:tc>
          <w:tcPr>
            <w:tcW w:w="1014" w:type="dxa"/>
            <w:vAlign w:val="center"/>
          </w:tcPr>
          <w:p w:rsidR="00C0300F" w:rsidRPr="00C0300F" w:rsidRDefault="00C0300F" w:rsidP="00C0300F">
            <w:pPr>
              <w:jc w:val="center"/>
              <w:rPr>
                <w:rFonts w:cstheme="minorHAnsi"/>
              </w:rPr>
            </w:pPr>
            <w:r w:rsidRPr="00C0300F">
              <w:rPr>
                <w:rFonts w:cstheme="minorHAnsi"/>
              </w:rPr>
              <w:t>5</w:t>
            </w:r>
          </w:p>
        </w:tc>
        <w:tc>
          <w:tcPr>
            <w:tcW w:w="4961" w:type="dxa"/>
            <w:vAlign w:val="center"/>
          </w:tcPr>
          <w:p w:rsidR="00C0300F" w:rsidRPr="00E3546E" w:rsidRDefault="00C0300F" w:rsidP="00E3546E">
            <w:pPr>
              <w:rPr>
                <w:rFonts w:cstheme="minorHAnsi"/>
                <w:lang w:val="es-ES"/>
              </w:rPr>
            </w:pPr>
            <w:r w:rsidRPr="00E3546E">
              <w:rPr>
                <w:rFonts w:cstheme="minorHAnsi"/>
                <w:lang w:val="es-ES"/>
              </w:rPr>
              <w:t>5</w:t>
            </w:r>
            <w:r w:rsidR="00E3546E" w:rsidRPr="00E3546E">
              <w:rPr>
                <w:rFonts w:cstheme="minorHAnsi"/>
                <w:lang w:val="es-ES"/>
              </w:rPr>
              <w:t xml:space="preserve">: </w:t>
            </w:r>
            <w:r w:rsidR="00E3546E">
              <w:rPr>
                <w:rFonts w:cstheme="minorHAnsi"/>
                <w:lang w:val="es-ES"/>
              </w:rPr>
              <w:t xml:space="preserve"> </w:t>
            </w:r>
            <w:r w:rsidR="00E3546E" w:rsidRPr="00E3546E">
              <w:rPr>
                <w:rFonts w:cstheme="minorHAnsi"/>
                <w:lang w:val="es-ES"/>
              </w:rPr>
              <w:t xml:space="preserve">Argentina, Chile, </w:t>
            </w:r>
            <w:proofErr w:type="spellStart"/>
            <w:r w:rsidR="00E3546E" w:rsidRPr="00E3546E">
              <w:rPr>
                <w:rFonts w:cstheme="minorHAnsi"/>
                <w:lang w:val="es-ES"/>
              </w:rPr>
              <w:t>Panama</w:t>
            </w:r>
            <w:proofErr w:type="spellEnd"/>
            <w:r w:rsidR="00E3546E" w:rsidRPr="00E3546E">
              <w:rPr>
                <w:rFonts w:cstheme="minorHAnsi"/>
                <w:lang w:val="es-ES"/>
              </w:rPr>
              <w:t>, Paraguay, V</w:t>
            </w:r>
            <w:r w:rsidR="00E3546E">
              <w:rPr>
                <w:rFonts w:cstheme="minorHAnsi"/>
                <w:lang w:val="es-ES"/>
              </w:rPr>
              <w:t>enezuela</w:t>
            </w:r>
          </w:p>
        </w:tc>
        <w:tc>
          <w:tcPr>
            <w:tcW w:w="2552" w:type="dxa"/>
            <w:vAlign w:val="center"/>
          </w:tcPr>
          <w:p w:rsidR="00C0300F" w:rsidRPr="00E3546E" w:rsidRDefault="00C0300F" w:rsidP="00215CDB">
            <w:pPr>
              <w:rPr>
                <w:rFonts w:cstheme="minorHAnsi"/>
                <w:lang w:val="es-ES"/>
              </w:rPr>
            </w:pPr>
          </w:p>
        </w:tc>
      </w:tr>
      <w:tr w:rsidR="00C0300F" w:rsidTr="0074553A">
        <w:tc>
          <w:tcPr>
            <w:tcW w:w="1391" w:type="dxa"/>
            <w:vAlign w:val="center"/>
          </w:tcPr>
          <w:p w:rsidR="00C0300F" w:rsidRPr="00C0300F" w:rsidRDefault="00C0300F" w:rsidP="00C0300F">
            <w:pPr>
              <w:rPr>
                <w:rFonts w:cstheme="minorHAnsi"/>
                <w:color w:val="000000"/>
              </w:rPr>
            </w:pPr>
            <w:r w:rsidRPr="00C0300F">
              <w:rPr>
                <w:rFonts w:cstheme="minorHAnsi"/>
                <w:color w:val="000000"/>
              </w:rPr>
              <w:t>INTERSOS</w:t>
            </w:r>
          </w:p>
        </w:tc>
        <w:tc>
          <w:tcPr>
            <w:tcW w:w="1014" w:type="dxa"/>
            <w:vAlign w:val="center"/>
          </w:tcPr>
          <w:p w:rsidR="00C0300F" w:rsidRPr="00C0300F" w:rsidRDefault="00C0300F" w:rsidP="00C0300F">
            <w:pPr>
              <w:jc w:val="center"/>
              <w:rPr>
                <w:rFonts w:cstheme="minorHAnsi"/>
              </w:rPr>
            </w:pPr>
            <w:r w:rsidRPr="00C0300F">
              <w:rPr>
                <w:rFonts w:cstheme="minorHAnsi"/>
              </w:rPr>
              <w:t>3</w:t>
            </w:r>
          </w:p>
        </w:tc>
        <w:tc>
          <w:tcPr>
            <w:tcW w:w="4961" w:type="dxa"/>
            <w:vAlign w:val="center"/>
          </w:tcPr>
          <w:p w:rsidR="00C0300F" w:rsidRPr="00C0300F" w:rsidRDefault="00C0300F" w:rsidP="00E3546E">
            <w:pPr>
              <w:rPr>
                <w:rFonts w:cstheme="minorHAnsi"/>
              </w:rPr>
            </w:pPr>
            <w:r w:rsidRPr="00C0300F">
              <w:rPr>
                <w:rFonts w:cstheme="minorHAnsi"/>
              </w:rPr>
              <w:t>1</w:t>
            </w:r>
            <w:r w:rsidR="00E3546E">
              <w:rPr>
                <w:rFonts w:cstheme="minorHAnsi"/>
              </w:rPr>
              <w:t>: Venezuela</w:t>
            </w:r>
          </w:p>
        </w:tc>
        <w:tc>
          <w:tcPr>
            <w:tcW w:w="2552" w:type="dxa"/>
            <w:vAlign w:val="center"/>
          </w:tcPr>
          <w:p w:rsidR="00C0300F" w:rsidRPr="00C0300F" w:rsidRDefault="00C0300F" w:rsidP="00C0300F">
            <w:pPr>
              <w:rPr>
                <w:rFonts w:cstheme="minorHAnsi"/>
              </w:rPr>
            </w:pPr>
            <w:r w:rsidRPr="00C0300F">
              <w:rPr>
                <w:rFonts w:cstheme="minorHAnsi"/>
              </w:rPr>
              <w:t>Jordan</w:t>
            </w:r>
            <w:r w:rsidR="00E3546E">
              <w:rPr>
                <w:rFonts w:cstheme="minorHAnsi"/>
              </w:rPr>
              <w:t xml:space="preserve"> (2)</w:t>
            </w:r>
          </w:p>
        </w:tc>
      </w:tr>
      <w:tr w:rsidR="00C0300F" w:rsidTr="0074553A">
        <w:tc>
          <w:tcPr>
            <w:tcW w:w="1391" w:type="dxa"/>
            <w:vAlign w:val="center"/>
          </w:tcPr>
          <w:p w:rsidR="00C0300F" w:rsidRPr="00C0300F" w:rsidRDefault="00C0300F" w:rsidP="00C0300F">
            <w:pPr>
              <w:rPr>
                <w:rFonts w:cstheme="minorHAnsi"/>
                <w:color w:val="000000"/>
              </w:rPr>
            </w:pPr>
            <w:r w:rsidRPr="00C0300F">
              <w:rPr>
                <w:rFonts w:cstheme="minorHAnsi"/>
                <w:color w:val="000000"/>
              </w:rPr>
              <w:t>IOM</w:t>
            </w:r>
          </w:p>
        </w:tc>
        <w:tc>
          <w:tcPr>
            <w:tcW w:w="1014" w:type="dxa"/>
            <w:vAlign w:val="center"/>
          </w:tcPr>
          <w:p w:rsidR="00C0300F" w:rsidRPr="00C0300F" w:rsidRDefault="00C0300F" w:rsidP="00C0300F">
            <w:pPr>
              <w:jc w:val="center"/>
              <w:rPr>
                <w:rFonts w:cstheme="minorHAnsi"/>
              </w:rPr>
            </w:pPr>
            <w:r w:rsidRPr="00C0300F">
              <w:rPr>
                <w:rFonts w:cstheme="minorHAnsi"/>
              </w:rPr>
              <w:t>2</w:t>
            </w:r>
          </w:p>
        </w:tc>
        <w:tc>
          <w:tcPr>
            <w:tcW w:w="4961" w:type="dxa"/>
            <w:vAlign w:val="center"/>
          </w:tcPr>
          <w:p w:rsidR="00C0300F" w:rsidRPr="00C0300F" w:rsidRDefault="00C0300F" w:rsidP="00E3546E">
            <w:pPr>
              <w:rPr>
                <w:rFonts w:cstheme="minorHAnsi"/>
              </w:rPr>
            </w:pPr>
            <w:r w:rsidRPr="00C0300F">
              <w:rPr>
                <w:rFonts w:cstheme="minorHAnsi"/>
              </w:rPr>
              <w:t>2</w:t>
            </w:r>
            <w:r w:rsidR="00E3546E">
              <w:rPr>
                <w:rFonts w:cstheme="minorHAnsi"/>
              </w:rPr>
              <w:t>: Argentina, Uruguay</w:t>
            </w:r>
          </w:p>
        </w:tc>
        <w:tc>
          <w:tcPr>
            <w:tcW w:w="2552" w:type="dxa"/>
            <w:vAlign w:val="center"/>
          </w:tcPr>
          <w:p w:rsidR="00C0300F" w:rsidRPr="00C0300F" w:rsidRDefault="00C0300F" w:rsidP="00215CDB">
            <w:pPr>
              <w:rPr>
                <w:rFonts w:cstheme="minorHAnsi"/>
              </w:rPr>
            </w:pPr>
          </w:p>
        </w:tc>
      </w:tr>
      <w:tr w:rsidR="00C0300F" w:rsidTr="0074553A">
        <w:tc>
          <w:tcPr>
            <w:tcW w:w="1391" w:type="dxa"/>
            <w:vAlign w:val="center"/>
          </w:tcPr>
          <w:p w:rsidR="00C0300F" w:rsidRPr="00C0300F" w:rsidRDefault="00C0300F" w:rsidP="00C0300F">
            <w:pPr>
              <w:rPr>
                <w:rFonts w:cstheme="minorHAnsi"/>
                <w:color w:val="000000"/>
              </w:rPr>
            </w:pPr>
            <w:r w:rsidRPr="00C0300F">
              <w:rPr>
                <w:rFonts w:cstheme="minorHAnsi"/>
                <w:color w:val="000000"/>
              </w:rPr>
              <w:t>Heartland</w:t>
            </w:r>
          </w:p>
        </w:tc>
        <w:tc>
          <w:tcPr>
            <w:tcW w:w="1014" w:type="dxa"/>
            <w:vAlign w:val="center"/>
          </w:tcPr>
          <w:p w:rsidR="00C0300F" w:rsidRPr="00C0300F" w:rsidRDefault="00C0300F" w:rsidP="00C0300F">
            <w:pPr>
              <w:jc w:val="center"/>
              <w:rPr>
                <w:rFonts w:cstheme="minorHAnsi"/>
              </w:rPr>
            </w:pPr>
            <w:r w:rsidRPr="00C0300F">
              <w:rPr>
                <w:rFonts w:cstheme="minorHAnsi"/>
              </w:rPr>
              <w:t>2</w:t>
            </w:r>
          </w:p>
        </w:tc>
        <w:tc>
          <w:tcPr>
            <w:tcW w:w="4961" w:type="dxa"/>
            <w:vAlign w:val="center"/>
          </w:tcPr>
          <w:p w:rsidR="00C0300F" w:rsidRPr="00C0300F" w:rsidRDefault="00C0300F" w:rsidP="00E3546E">
            <w:pPr>
              <w:rPr>
                <w:rFonts w:cstheme="minorHAnsi"/>
              </w:rPr>
            </w:pPr>
            <w:r w:rsidRPr="00C0300F">
              <w:rPr>
                <w:rFonts w:cstheme="minorHAnsi"/>
              </w:rPr>
              <w:t>0</w:t>
            </w:r>
          </w:p>
        </w:tc>
        <w:tc>
          <w:tcPr>
            <w:tcW w:w="2552" w:type="dxa"/>
            <w:vAlign w:val="center"/>
          </w:tcPr>
          <w:p w:rsidR="00C0300F" w:rsidRPr="00C0300F" w:rsidRDefault="00C0300F" w:rsidP="00215CDB">
            <w:pPr>
              <w:rPr>
                <w:rFonts w:cstheme="minorHAnsi"/>
              </w:rPr>
            </w:pPr>
            <w:r w:rsidRPr="00C0300F">
              <w:rPr>
                <w:rFonts w:cstheme="minorHAnsi"/>
              </w:rPr>
              <w:t>Iraq</w:t>
            </w:r>
            <w:r w:rsidR="00653137">
              <w:rPr>
                <w:rFonts w:cstheme="minorHAnsi"/>
              </w:rPr>
              <w:t xml:space="preserve"> (2)</w:t>
            </w:r>
          </w:p>
        </w:tc>
      </w:tr>
      <w:tr w:rsidR="00C0300F" w:rsidTr="0074553A">
        <w:tc>
          <w:tcPr>
            <w:tcW w:w="1391" w:type="dxa"/>
            <w:vAlign w:val="center"/>
          </w:tcPr>
          <w:p w:rsidR="00C0300F" w:rsidRPr="00C0300F" w:rsidRDefault="00C0300F" w:rsidP="00C0300F">
            <w:pPr>
              <w:rPr>
                <w:rFonts w:cstheme="minorHAnsi"/>
                <w:color w:val="000000"/>
              </w:rPr>
            </w:pPr>
            <w:proofErr w:type="gramStart"/>
            <w:r w:rsidRPr="00C0300F">
              <w:rPr>
                <w:rFonts w:cstheme="minorHAnsi"/>
                <w:color w:val="000000"/>
              </w:rPr>
              <w:t>Other</w:t>
            </w:r>
            <w:proofErr w:type="gramEnd"/>
            <w:r w:rsidRPr="00C0300F">
              <w:rPr>
                <w:rFonts w:cstheme="minorHAnsi"/>
                <w:color w:val="000000"/>
              </w:rPr>
              <w:t xml:space="preserve"> INGO</w:t>
            </w:r>
          </w:p>
        </w:tc>
        <w:tc>
          <w:tcPr>
            <w:tcW w:w="1014" w:type="dxa"/>
            <w:vAlign w:val="center"/>
          </w:tcPr>
          <w:p w:rsidR="00C0300F" w:rsidRPr="00C0300F" w:rsidRDefault="00C0300F" w:rsidP="00C0300F">
            <w:pPr>
              <w:jc w:val="center"/>
              <w:rPr>
                <w:rFonts w:cstheme="minorHAnsi"/>
              </w:rPr>
            </w:pPr>
            <w:r w:rsidRPr="00C0300F">
              <w:rPr>
                <w:rFonts w:cstheme="minorHAnsi"/>
              </w:rPr>
              <w:t>4</w:t>
            </w:r>
          </w:p>
        </w:tc>
        <w:tc>
          <w:tcPr>
            <w:tcW w:w="4961" w:type="dxa"/>
            <w:vAlign w:val="center"/>
          </w:tcPr>
          <w:p w:rsidR="00C0300F" w:rsidRPr="00C0300F" w:rsidRDefault="00C0300F" w:rsidP="00E3546E">
            <w:pPr>
              <w:rPr>
                <w:rFonts w:cstheme="minorHAnsi"/>
              </w:rPr>
            </w:pPr>
            <w:r w:rsidRPr="00C0300F">
              <w:rPr>
                <w:rFonts w:cstheme="minorHAnsi"/>
              </w:rPr>
              <w:t>3</w:t>
            </w:r>
            <w:r w:rsidR="00E3546E">
              <w:rPr>
                <w:rFonts w:cstheme="minorHAnsi"/>
              </w:rPr>
              <w:t>:  Costa Rica, Ecuador, Bolivia</w:t>
            </w:r>
          </w:p>
        </w:tc>
        <w:tc>
          <w:tcPr>
            <w:tcW w:w="2552" w:type="dxa"/>
            <w:vAlign w:val="center"/>
          </w:tcPr>
          <w:p w:rsidR="00C0300F" w:rsidRPr="00C0300F" w:rsidRDefault="00C0300F" w:rsidP="00215CDB">
            <w:pPr>
              <w:rPr>
                <w:rFonts w:cstheme="minorHAnsi"/>
              </w:rPr>
            </w:pPr>
            <w:r w:rsidRPr="00C0300F">
              <w:rPr>
                <w:rFonts w:cstheme="minorHAnsi"/>
              </w:rPr>
              <w:t>Myanmar</w:t>
            </w:r>
          </w:p>
        </w:tc>
      </w:tr>
      <w:tr w:rsidR="00C0300F" w:rsidTr="0074553A">
        <w:tc>
          <w:tcPr>
            <w:tcW w:w="1391" w:type="dxa"/>
            <w:vAlign w:val="center"/>
          </w:tcPr>
          <w:p w:rsidR="00C0300F" w:rsidRPr="00C0300F" w:rsidRDefault="00C0300F" w:rsidP="00C0300F">
            <w:pPr>
              <w:rPr>
                <w:rFonts w:cstheme="minorHAnsi"/>
                <w:color w:val="000000"/>
              </w:rPr>
            </w:pPr>
            <w:r w:rsidRPr="00C0300F">
              <w:rPr>
                <w:rFonts w:cstheme="minorHAnsi"/>
                <w:color w:val="000000"/>
              </w:rPr>
              <w:t>NNGO</w:t>
            </w:r>
          </w:p>
        </w:tc>
        <w:tc>
          <w:tcPr>
            <w:tcW w:w="1014" w:type="dxa"/>
            <w:vAlign w:val="center"/>
          </w:tcPr>
          <w:p w:rsidR="00C0300F" w:rsidRPr="00C0300F" w:rsidRDefault="00C0300F" w:rsidP="00C0300F">
            <w:pPr>
              <w:jc w:val="center"/>
              <w:rPr>
                <w:rFonts w:cstheme="minorHAnsi"/>
              </w:rPr>
            </w:pPr>
            <w:r w:rsidRPr="00C0300F">
              <w:rPr>
                <w:rFonts w:cstheme="minorHAnsi"/>
              </w:rPr>
              <w:t>8</w:t>
            </w:r>
          </w:p>
        </w:tc>
        <w:tc>
          <w:tcPr>
            <w:tcW w:w="4961" w:type="dxa"/>
            <w:vAlign w:val="center"/>
          </w:tcPr>
          <w:p w:rsidR="00C0300F" w:rsidRPr="00C0300F" w:rsidRDefault="00C0300F" w:rsidP="00E3546E">
            <w:pPr>
              <w:rPr>
                <w:rFonts w:cstheme="minorHAnsi"/>
              </w:rPr>
            </w:pPr>
            <w:r w:rsidRPr="00C0300F">
              <w:rPr>
                <w:rFonts w:cstheme="minorHAnsi"/>
              </w:rPr>
              <w:t>5</w:t>
            </w:r>
            <w:r w:rsidR="00E3546E">
              <w:rPr>
                <w:rFonts w:cstheme="minorHAnsi"/>
              </w:rPr>
              <w:t>:  Argentina (3,) Peru, Venezuela</w:t>
            </w:r>
          </w:p>
        </w:tc>
        <w:tc>
          <w:tcPr>
            <w:tcW w:w="2552" w:type="dxa"/>
            <w:vAlign w:val="center"/>
          </w:tcPr>
          <w:p w:rsidR="00C0300F" w:rsidRPr="00C0300F" w:rsidRDefault="00653137" w:rsidP="00215CDB">
            <w:pPr>
              <w:rPr>
                <w:rFonts w:cstheme="minorHAnsi"/>
              </w:rPr>
            </w:pPr>
            <w:r w:rsidRPr="00C0300F">
              <w:rPr>
                <w:rFonts w:cstheme="minorHAnsi"/>
              </w:rPr>
              <w:t>Bangladesh</w:t>
            </w:r>
            <w:r>
              <w:rPr>
                <w:rFonts w:cstheme="minorHAnsi"/>
              </w:rPr>
              <w:t>,</w:t>
            </w:r>
            <w:r w:rsidR="00C0300F" w:rsidRPr="00C0300F">
              <w:rPr>
                <w:rFonts w:cstheme="minorHAnsi"/>
              </w:rPr>
              <w:t xml:space="preserve"> Lebanon</w:t>
            </w:r>
            <w:r>
              <w:rPr>
                <w:rFonts w:cstheme="minorHAnsi"/>
              </w:rPr>
              <w:t xml:space="preserve">, </w:t>
            </w:r>
            <w:r w:rsidR="00C0300F" w:rsidRPr="00C0300F">
              <w:rPr>
                <w:rFonts w:cstheme="minorHAnsi"/>
              </w:rPr>
              <w:t>Syria</w:t>
            </w:r>
          </w:p>
        </w:tc>
      </w:tr>
      <w:tr w:rsidR="00C0300F" w:rsidTr="0074553A">
        <w:tc>
          <w:tcPr>
            <w:tcW w:w="1391" w:type="dxa"/>
            <w:vAlign w:val="center"/>
          </w:tcPr>
          <w:p w:rsidR="00C0300F" w:rsidRPr="00C0300F" w:rsidRDefault="00C0300F" w:rsidP="00C0300F">
            <w:pPr>
              <w:rPr>
                <w:rFonts w:cstheme="minorHAnsi"/>
                <w:color w:val="000000"/>
              </w:rPr>
            </w:pPr>
            <w:proofErr w:type="gramStart"/>
            <w:r w:rsidRPr="00C0300F">
              <w:rPr>
                <w:rFonts w:cstheme="minorHAnsi"/>
                <w:color w:val="000000"/>
              </w:rPr>
              <w:t>Other</w:t>
            </w:r>
            <w:proofErr w:type="gramEnd"/>
            <w:r w:rsidRPr="00C0300F">
              <w:rPr>
                <w:rFonts w:cstheme="minorHAnsi"/>
                <w:color w:val="000000"/>
              </w:rPr>
              <w:t xml:space="preserve"> UN</w:t>
            </w:r>
          </w:p>
        </w:tc>
        <w:tc>
          <w:tcPr>
            <w:tcW w:w="1014" w:type="dxa"/>
            <w:vAlign w:val="center"/>
          </w:tcPr>
          <w:p w:rsidR="00C0300F" w:rsidRPr="00C0300F" w:rsidRDefault="00E3546E" w:rsidP="00C030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61" w:type="dxa"/>
            <w:vAlign w:val="center"/>
          </w:tcPr>
          <w:p w:rsidR="00C0300F" w:rsidRPr="00C0300F" w:rsidRDefault="00E3546E" w:rsidP="00E3546E">
            <w:pPr>
              <w:rPr>
                <w:rFonts w:cstheme="minorHAnsi"/>
              </w:rPr>
            </w:pPr>
            <w:r>
              <w:rPr>
                <w:rFonts w:cstheme="minorHAnsi"/>
              </w:rPr>
              <w:t>4: Colombia, Panama, Uruguay, Venezuela</w:t>
            </w:r>
          </w:p>
        </w:tc>
        <w:tc>
          <w:tcPr>
            <w:tcW w:w="2552" w:type="dxa"/>
            <w:vAlign w:val="center"/>
          </w:tcPr>
          <w:p w:rsidR="00C0300F" w:rsidRPr="00C0300F" w:rsidRDefault="00C0300F" w:rsidP="00215CDB">
            <w:pPr>
              <w:rPr>
                <w:rFonts w:cstheme="minorHAnsi"/>
              </w:rPr>
            </w:pPr>
            <w:r w:rsidRPr="00C0300F">
              <w:rPr>
                <w:rFonts w:cstheme="minorHAnsi"/>
              </w:rPr>
              <w:t>Bangladesh</w:t>
            </w:r>
          </w:p>
        </w:tc>
      </w:tr>
    </w:tbl>
    <w:p w:rsidR="00653137" w:rsidRDefault="00653137" w:rsidP="003B69FE"/>
    <w:p w:rsidR="00215CDB" w:rsidRDefault="00215CDB" w:rsidP="003B69FE"/>
    <w:p w:rsidR="00A5682D" w:rsidRDefault="00A5682D">
      <w:pPr>
        <w:rPr>
          <w:noProof/>
        </w:rPr>
      </w:pPr>
      <w:r>
        <w:rPr>
          <w:noProof/>
        </w:rPr>
        <w:br w:type="page"/>
      </w:r>
    </w:p>
    <w:p w:rsidR="00B705FD" w:rsidRDefault="00584196" w:rsidP="00EA6C65">
      <w:pPr>
        <w:rPr>
          <w:u w:val="single"/>
        </w:rPr>
      </w:pPr>
      <w:r>
        <w:rPr>
          <w:u w:val="single"/>
        </w:rPr>
        <w:lastRenderedPageBreak/>
        <w:t>GAM Results</w:t>
      </w:r>
    </w:p>
    <w:p w:rsidR="00584196" w:rsidRPr="00584196" w:rsidRDefault="00584196" w:rsidP="00EA6C65">
      <w:pPr>
        <w:rPr>
          <w:u w:val="single"/>
        </w:rPr>
      </w:pPr>
    </w:p>
    <w:p w:rsidR="00D77612" w:rsidRDefault="00A5682D" w:rsidP="00EA6C65">
      <w:r>
        <w:rPr>
          <w:noProof/>
        </w:rPr>
        <w:drawing>
          <wp:anchor distT="0" distB="0" distL="114300" distR="114300" simplePos="0" relativeHeight="251771904" behindDoc="0" locked="0" layoutInCell="1" allowOverlap="1" wp14:anchorId="2F1178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14352" cy="20345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52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A45" w:rsidRPr="006968CA">
        <w:t xml:space="preserve">Of the </w:t>
      </w:r>
      <w:r>
        <w:t>45</w:t>
      </w:r>
      <w:r w:rsidR="00F91A45" w:rsidRPr="006968CA">
        <w:t xml:space="preserve"> </w:t>
      </w:r>
      <w:r>
        <w:t>SOGI-inclusive</w:t>
      </w:r>
      <w:r w:rsidR="002613E6">
        <w:t xml:space="preserve"> </w:t>
      </w:r>
      <w:r w:rsidR="00F91A45" w:rsidRPr="006968CA">
        <w:t xml:space="preserve">projects applying the GAM, </w:t>
      </w:r>
      <w:r>
        <w:t>82</w:t>
      </w:r>
      <w:r w:rsidR="002303AC">
        <w:t>%</w:t>
      </w:r>
      <w:r w:rsidR="000C2F51" w:rsidRPr="006968CA">
        <w:t xml:space="preserve"> (</w:t>
      </w:r>
      <w:r>
        <w:t>37</w:t>
      </w:r>
      <w:r w:rsidR="00EA6C65">
        <w:t xml:space="preserve"> projects</w:t>
      </w:r>
      <w:r w:rsidR="00914FD8" w:rsidRPr="006968CA">
        <w:t>)</w:t>
      </w:r>
      <w:r w:rsidR="009A7B75" w:rsidRPr="006968CA">
        <w:t xml:space="preserve"> </w:t>
      </w:r>
      <w:r w:rsidR="00A664AB" w:rsidRPr="006968CA">
        <w:t>plan to respond to</w:t>
      </w:r>
      <w:r w:rsidR="009A7B75" w:rsidRPr="006968CA">
        <w:t xml:space="preserve"> </w:t>
      </w:r>
      <w:r w:rsidR="00A664AB" w:rsidRPr="006968CA">
        <w:t xml:space="preserve">both </w:t>
      </w:r>
      <w:r w:rsidR="009A7B75" w:rsidRPr="006968CA">
        <w:t>gender</w:t>
      </w:r>
      <w:r w:rsidR="00A664AB" w:rsidRPr="006968CA">
        <w:t xml:space="preserve"> and age</w:t>
      </w:r>
      <w:r w:rsidR="009A7B75" w:rsidRPr="006968CA">
        <w:t xml:space="preserve"> differences (Code </w:t>
      </w:r>
      <w:r w:rsidR="00A664AB" w:rsidRPr="006968CA">
        <w:t>4</w:t>
      </w:r>
      <w:r w:rsidR="009A7B75" w:rsidRPr="006968CA">
        <w:t>)</w:t>
      </w:r>
      <w:r w:rsidR="002613E6">
        <w:t xml:space="preserve">, including </w:t>
      </w:r>
      <w:r>
        <w:t>six which are</w:t>
      </w:r>
      <w:r w:rsidR="006968CA">
        <w:t xml:space="preserve"> targeted action</w:t>
      </w:r>
      <w:r>
        <w:t>s</w:t>
      </w:r>
      <w:r w:rsidR="006968CA">
        <w:t xml:space="preserve"> (“T</w:t>
      </w:r>
      <w:r w:rsidR="00EE0F64">
        <w:t xml:space="preserve">”) with </w:t>
      </w:r>
      <w:r w:rsidR="00EA6C65">
        <w:t>the</w:t>
      </w:r>
      <w:r w:rsidR="00EE0F64">
        <w:t xml:space="preserve"> specific purpose to reduce inequality</w:t>
      </w:r>
      <w:r>
        <w:t xml:space="preserve"> or discrimination.  Three</w:t>
      </w:r>
      <w:r w:rsidR="00CD5015">
        <w:t xml:space="preserve"> projects</w:t>
      </w:r>
      <w:r w:rsidR="00C42B1D">
        <w:t xml:space="preserve"> </w:t>
      </w:r>
      <w:r w:rsidR="00EA6C65">
        <w:t>intend to address gender (but not age) differences</w:t>
      </w:r>
      <w:r w:rsidR="000113AB">
        <w:t>, and five</w:t>
      </w:r>
      <w:r w:rsidR="00EA6C65">
        <w:t xml:space="preserve"> projects do not </w:t>
      </w:r>
      <w:r w:rsidR="00A664AB" w:rsidRPr="006968CA">
        <w:t>mainstream gender</w:t>
      </w:r>
      <w:r w:rsidR="002613E6">
        <w:t xml:space="preserve"> </w:t>
      </w:r>
      <w:r w:rsidR="00CD5015">
        <w:t>and/or</w:t>
      </w:r>
      <w:r w:rsidR="002534B4">
        <w:t xml:space="preserve"> </w:t>
      </w:r>
      <w:r w:rsidR="002613E6">
        <w:t>age</w:t>
      </w:r>
      <w:r w:rsidR="00D77612" w:rsidRPr="006968CA">
        <w:t>.</w:t>
      </w:r>
      <w:r w:rsidR="002C5E53">
        <w:t xml:space="preserve">  </w:t>
      </w:r>
    </w:p>
    <w:p w:rsidR="00A664AB" w:rsidRDefault="00A664AB" w:rsidP="00D77612">
      <w:pPr>
        <w:ind w:right="110"/>
        <w:rPr>
          <w:noProof/>
        </w:rPr>
      </w:pPr>
    </w:p>
    <w:p w:rsidR="005A56F0" w:rsidRDefault="005A56F0" w:rsidP="00F46379">
      <w:pPr>
        <w:rPr>
          <w:noProof/>
        </w:rPr>
      </w:pPr>
    </w:p>
    <w:p w:rsidR="0078596F" w:rsidRDefault="0078596F" w:rsidP="0078596F">
      <w:pPr>
        <w:rPr>
          <w:noProof/>
        </w:rPr>
      </w:pPr>
    </w:p>
    <w:p w:rsidR="00EB7553" w:rsidRDefault="00584196" w:rsidP="0078596F">
      <w:r>
        <w:rPr>
          <w:noProof/>
        </w:rPr>
        <w:drawing>
          <wp:anchor distT="0" distB="0" distL="114300" distR="114300" simplePos="0" relativeHeight="251772928" behindDoc="0" locked="0" layoutInCell="1" allowOverlap="1" wp14:anchorId="4285C3AC">
            <wp:simplePos x="0" y="0"/>
            <wp:positionH relativeFrom="column">
              <wp:posOffset>3038475</wp:posOffset>
            </wp:positionH>
            <wp:positionV relativeFrom="paragraph">
              <wp:posOffset>131445</wp:posOffset>
            </wp:positionV>
            <wp:extent cx="3171825" cy="25717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6F0">
        <w:rPr>
          <w:noProof/>
        </w:rPr>
        <w:t xml:space="preserve">A </w:t>
      </w:r>
      <w:r w:rsidR="005248CB">
        <w:rPr>
          <w:noProof/>
        </w:rPr>
        <w:t xml:space="preserve">quick </w:t>
      </w:r>
      <w:r w:rsidR="005A56F0">
        <w:rPr>
          <w:noProof/>
        </w:rPr>
        <w:t xml:space="preserve">scan of GAM submissions suggests </w:t>
      </w:r>
      <w:r w:rsidR="00EB7553">
        <w:rPr>
          <w:noProof/>
        </w:rPr>
        <w:t xml:space="preserve">that awareness of inequality and discrimination is higher </w:t>
      </w:r>
      <w:r>
        <w:rPr>
          <w:noProof/>
        </w:rPr>
        <w:t>than average for</w:t>
      </w:r>
      <w:r w:rsidR="00EB7553">
        <w:rPr>
          <w:noProof/>
        </w:rPr>
        <w:t xml:space="preserve"> these projects. </w:t>
      </w:r>
      <w:r w:rsidR="00D17408">
        <w:rPr>
          <w:noProof/>
        </w:rPr>
        <w:t xml:space="preserve"> </w:t>
      </w:r>
      <w:r w:rsidR="00EB7553">
        <w:rPr>
          <w:noProof/>
        </w:rPr>
        <w:t>6</w:t>
      </w:r>
      <w:r w:rsidR="00EA6C65">
        <w:rPr>
          <w:noProof/>
        </w:rPr>
        <w:t>0%</w:t>
      </w:r>
      <w:r w:rsidR="002A3387">
        <w:rPr>
          <w:noProof/>
        </w:rPr>
        <w:t xml:space="preserve"> </w:t>
      </w:r>
      <w:r w:rsidR="00FB2B59">
        <w:rPr>
          <w:noProof/>
        </w:rPr>
        <w:t xml:space="preserve">of </w:t>
      </w:r>
      <w:r w:rsidR="005248CB">
        <w:rPr>
          <w:noProof/>
        </w:rPr>
        <w:t>“</w:t>
      </w:r>
      <w:r w:rsidR="00A5682D">
        <w:rPr>
          <w:noProof/>
        </w:rPr>
        <w:t>SOGI</w:t>
      </w:r>
      <w:r w:rsidR="00EB7553">
        <w:rPr>
          <w:noProof/>
        </w:rPr>
        <w:t>-aware</w:t>
      </w:r>
      <w:r w:rsidR="005248CB">
        <w:rPr>
          <w:noProof/>
        </w:rPr>
        <w:t>”</w:t>
      </w:r>
      <w:r w:rsidR="00EB7553">
        <w:rPr>
          <w:noProof/>
        </w:rPr>
        <w:t xml:space="preserve"> </w:t>
      </w:r>
      <w:r w:rsidR="00FB2B59">
        <w:rPr>
          <w:noProof/>
        </w:rPr>
        <w:t>projects</w:t>
      </w:r>
      <w:r w:rsidR="00F46912">
        <w:rPr>
          <w:noProof/>
        </w:rPr>
        <w:t xml:space="preserve"> (</w:t>
      </w:r>
      <w:r w:rsidR="00EB7553">
        <w:rPr>
          <w:noProof/>
        </w:rPr>
        <w:t>27</w:t>
      </w:r>
      <w:r w:rsidR="00F46912">
        <w:rPr>
          <w:noProof/>
        </w:rPr>
        <w:t>)</w:t>
      </w:r>
      <w:r w:rsidR="00FB2B59">
        <w:rPr>
          <w:noProof/>
        </w:rPr>
        <w:t xml:space="preserve"> </w:t>
      </w:r>
      <w:r w:rsidR="00565FBE">
        <w:t>d</w:t>
      </w:r>
      <w:r w:rsidR="00565FBE" w:rsidRPr="004E3377">
        <w:t xml:space="preserve">emonstrate </w:t>
      </w:r>
      <w:r w:rsidR="004E75CA">
        <w:t xml:space="preserve">a </w:t>
      </w:r>
      <w:r w:rsidR="009462AC">
        <w:t>good</w:t>
      </w:r>
      <w:r w:rsidR="00565FBE" w:rsidRPr="004E3377">
        <w:t xml:space="preserve"> analysis of gender </w:t>
      </w:r>
      <w:r w:rsidR="00565FBE">
        <w:t xml:space="preserve">and/or age </w:t>
      </w:r>
      <w:r w:rsidR="00565FBE" w:rsidRPr="004E3377">
        <w:t xml:space="preserve">inequality in </w:t>
      </w:r>
      <w:r w:rsidR="000E1427">
        <w:t>context</w:t>
      </w:r>
      <w:r w:rsidR="00D17408">
        <w:t xml:space="preserve">, compared to less than 50% of projects in most appeals.    The quality of analysis </w:t>
      </w:r>
      <w:r w:rsidR="00EA6C65">
        <w:t>is determined by Column Y of the GAM data, where project</w:t>
      </w:r>
      <w:r w:rsidR="00F46912">
        <w:t xml:space="preserve"> holder</w:t>
      </w:r>
      <w:r w:rsidR="00EA6C65">
        <w:t xml:space="preserve">s are asked to describe their gender analysis.  Based on rapid </w:t>
      </w:r>
      <w:r w:rsidR="00D25FD6">
        <w:t>review</w:t>
      </w:r>
      <w:r w:rsidR="00EA6C65">
        <w:t xml:space="preserve">, </w:t>
      </w:r>
      <w:r w:rsidR="00F46912">
        <w:t xml:space="preserve">projects that </w:t>
      </w:r>
      <w:r w:rsidR="004665D0">
        <w:t xml:space="preserve">clearly </w:t>
      </w:r>
      <w:r w:rsidR="00F46912">
        <w:t xml:space="preserve">describe or provide an example of role and/or power differences (“gender analysis”) are coded green.  </w:t>
      </w:r>
      <w:r w:rsidR="00EB7553">
        <w:t>20</w:t>
      </w:r>
      <w:r w:rsidR="00F46912">
        <w:t xml:space="preserve">% of </w:t>
      </w:r>
      <w:r w:rsidR="00A5682D">
        <w:t>SOGI</w:t>
      </w:r>
      <w:r w:rsidR="00D25FD6">
        <w:t xml:space="preserve"> </w:t>
      </w:r>
      <w:r w:rsidR="00F46912">
        <w:t>projects ap</w:t>
      </w:r>
      <w:r w:rsidR="000E1427">
        <w:t>pear</w:t>
      </w:r>
      <w:r w:rsidR="00F46912">
        <w:t xml:space="preserve"> </w:t>
      </w:r>
      <w:r w:rsidR="000E1427">
        <w:t xml:space="preserve">to have </w:t>
      </w:r>
      <w:r w:rsidR="00565FBE">
        <w:t>limited</w:t>
      </w:r>
      <w:r w:rsidR="00EB7553">
        <w:t xml:space="preserve">, and 20% no </w:t>
      </w:r>
      <w:r w:rsidR="00F46912">
        <w:t xml:space="preserve">gender </w:t>
      </w:r>
      <w:r w:rsidR="00565FBE">
        <w:t>analysis</w:t>
      </w:r>
      <w:r w:rsidR="00EB7553">
        <w:t xml:space="preserve"> </w:t>
      </w:r>
      <w:r w:rsidR="00EB7553">
        <w:t xml:space="preserve">yet </w:t>
      </w:r>
      <w:r w:rsidR="00EB7553">
        <w:t>(yellow and red - 9 projects each</w:t>
      </w:r>
      <w:r w:rsidR="00EB7553">
        <w:t>.</w:t>
      </w:r>
      <w:r w:rsidR="00EB7553">
        <w:t xml:space="preserve">) </w:t>
      </w:r>
      <w:r w:rsidR="00EB7553">
        <w:t xml:space="preserve"> </w:t>
      </w:r>
      <w:r w:rsidR="00D25FD6">
        <w:t>These projects most often describe</w:t>
      </w:r>
      <w:r w:rsidR="00F46912">
        <w:t xml:space="preserve"> a policy or express</w:t>
      </w:r>
      <w:r w:rsidR="00D25FD6">
        <w:t xml:space="preserve"> </w:t>
      </w:r>
      <w:r w:rsidR="00EB7553">
        <w:t>a</w:t>
      </w:r>
      <w:r w:rsidR="00F46912">
        <w:t xml:space="preserve"> commitment</w:t>
      </w:r>
      <w:r w:rsidR="00565FBE">
        <w:t xml:space="preserve"> </w:t>
      </w:r>
      <w:r w:rsidR="00565FBE" w:rsidRPr="004E3377">
        <w:t xml:space="preserve">to address inequality </w:t>
      </w:r>
      <w:r w:rsidR="000E1427">
        <w:t>rather than</w:t>
      </w:r>
      <w:r w:rsidR="00565FBE">
        <w:t xml:space="preserve"> an </w:t>
      </w:r>
      <w:r w:rsidR="00EB7553">
        <w:t xml:space="preserve">example </w:t>
      </w:r>
      <w:r w:rsidR="00565FBE">
        <w:t xml:space="preserve">of </w:t>
      </w:r>
      <w:r w:rsidR="00F46912">
        <w:t>actual differences in the context</w:t>
      </w:r>
      <w:r w:rsidR="00EB7553">
        <w:t>.</w:t>
      </w:r>
      <w:r w:rsidR="00565FBE" w:rsidRPr="004E3377">
        <w:t xml:space="preserve"> </w:t>
      </w:r>
      <w:r w:rsidR="000E1427">
        <w:t xml:space="preserve"> </w:t>
      </w:r>
      <w:r w:rsidR="000E1427" w:rsidRPr="00F46379">
        <w:t xml:space="preserve">This reflects a common misunderstanding of tool: its purpose is </w:t>
      </w:r>
      <w:r w:rsidR="000E1427" w:rsidRPr="00F46379">
        <w:rPr>
          <w:i/>
          <w:iCs/>
        </w:rPr>
        <w:t>not</w:t>
      </w:r>
      <w:r w:rsidR="000E1427" w:rsidRPr="00F46379">
        <w:t xml:space="preserve"> to persuade others of the</w:t>
      </w:r>
      <w:r w:rsidR="002E4854" w:rsidRPr="00F46379">
        <w:t xml:space="preserve"> value of a project</w:t>
      </w:r>
      <w:r w:rsidR="000E1427" w:rsidRPr="00F46379">
        <w:t>, but rat</w:t>
      </w:r>
      <w:r w:rsidR="002E4854" w:rsidRPr="00F46379">
        <w:t xml:space="preserve">her </w:t>
      </w:r>
      <w:r w:rsidR="000E1427" w:rsidRPr="00F46379">
        <w:t xml:space="preserve">an opportunity </w:t>
      </w:r>
      <w:r w:rsidR="002E4854" w:rsidRPr="00F46379">
        <w:t xml:space="preserve">for project holders </w:t>
      </w:r>
      <w:r w:rsidR="000E1427" w:rsidRPr="00F46379">
        <w:t>to articulate and</w:t>
      </w:r>
      <w:r w:rsidR="000E1427">
        <w:t xml:space="preserve"> </w:t>
      </w:r>
      <w:r w:rsidR="002E4854">
        <w:t>confirm th</w:t>
      </w:r>
      <w:r w:rsidR="00F46379">
        <w:t>e relevance and coherence of their program actions.</w:t>
      </w:r>
      <w:r w:rsidR="002E4854">
        <w:t xml:space="preserve"> </w:t>
      </w:r>
      <w:r w:rsidR="002534B4">
        <w:t xml:space="preserve"> </w:t>
      </w:r>
    </w:p>
    <w:p w:rsidR="00D17408" w:rsidRDefault="00D17408" w:rsidP="0078596F"/>
    <w:p w:rsidR="00B705FD" w:rsidRDefault="00B705FD" w:rsidP="00EB755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73952" behindDoc="0" locked="0" layoutInCell="1" allowOverlap="1" wp14:anchorId="067589FC">
            <wp:simplePos x="0" y="0"/>
            <wp:positionH relativeFrom="column">
              <wp:posOffset>-229235</wp:posOffset>
            </wp:positionH>
            <wp:positionV relativeFrom="paragraph">
              <wp:posOffset>66675</wp:posOffset>
            </wp:positionV>
            <wp:extent cx="3324225" cy="217170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0FD" w:rsidRDefault="00240135" w:rsidP="00EB7553">
      <w:pPr>
        <w:rPr>
          <w:noProof/>
        </w:rPr>
      </w:pPr>
      <w:r>
        <w:rPr>
          <w:noProof/>
        </w:rPr>
        <w:t xml:space="preserve">A </w:t>
      </w:r>
      <w:r w:rsidR="00B705FD">
        <w:rPr>
          <w:noProof/>
        </w:rPr>
        <w:t>h</w:t>
      </w:r>
      <w:r>
        <w:rPr>
          <w:noProof/>
        </w:rPr>
        <w:t>igh</w:t>
      </w:r>
      <w:r w:rsidR="005248CB">
        <w:rPr>
          <w:noProof/>
        </w:rPr>
        <w:t xml:space="preserve">er </w:t>
      </w:r>
      <w:r>
        <w:rPr>
          <w:noProof/>
        </w:rPr>
        <w:t xml:space="preserve">proportion of </w:t>
      </w:r>
      <w:r w:rsidR="005248CB">
        <w:rPr>
          <w:noProof/>
        </w:rPr>
        <w:t>these</w:t>
      </w:r>
      <w:r>
        <w:rPr>
          <w:noProof/>
        </w:rPr>
        <w:t xml:space="preserve"> projects base their analysis on needs, roles and social dynamics </w:t>
      </w:r>
      <w:r w:rsidR="00766EE2">
        <w:rPr>
          <w:noProof/>
        </w:rPr>
        <w:t xml:space="preserve">(67%) </w:t>
      </w:r>
      <w:r>
        <w:rPr>
          <w:noProof/>
        </w:rPr>
        <w:t xml:space="preserve">compared to </w:t>
      </w:r>
      <w:r w:rsidR="00766EE2">
        <w:rPr>
          <w:noProof/>
        </w:rPr>
        <w:t>humanitarian</w:t>
      </w:r>
      <w:r w:rsidR="00D17408">
        <w:rPr>
          <w:noProof/>
        </w:rPr>
        <w:t xml:space="preserve"> projects in general, where 50% or less consider role</w:t>
      </w:r>
      <w:r w:rsidR="00766EE2">
        <w:rPr>
          <w:noProof/>
        </w:rPr>
        <w:t>s</w:t>
      </w:r>
      <w:r w:rsidR="00D17408">
        <w:rPr>
          <w:noProof/>
        </w:rPr>
        <w:t xml:space="preserve"> and dynamics in their analysis</w:t>
      </w:r>
      <w:r>
        <w:rPr>
          <w:noProof/>
        </w:rPr>
        <w:t>.</w:t>
      </w:r>
    </w:p>
    <w:p w:rsidR="00B705FD" w:rsidRDefault="00B705FD" w:rsidP="00CA70FD">
      <w:pPr>
        <w:rPr>
          <w:noProof/>
        </w:rPr>
      </w:pPr>
    </w:p>
    <w:p w:rsidR="00B705FD" w:rsidRDefault="00B705FD" w:rsidP="00CA70FD">
      <w:pPr>
        <w:rPr>
          <w:noProof/>
        </w:rPr>
      </w:pPr>
    </w:p>
    <w:p w:rsidR="00B705FD" w:rsidRDefault="00B705FD" w:rsidP="00CA70FD">
      <w:pPr>
        <w:rPr>
          <w:noProof/>
        </w:rPr>
      </w:pPr>
    </w:p>
    <w:p w:rsidR="00B705FD" w:rsidRDefault="00B705FD" w:rsidP="00CA70FD">
      <w:pPr>
        <w:rPr>
          <w:noProof/>
        </w:rPr>
      </w:pPr>
    </w:p>
    <w:p w:rsidR="00B705FD" w:rsidRDefault="00B705FD" w:rsidP="00CA70FD">
      <w:pPr>
        <w:rPr>
          <w:noProof/>
        </w:rPr>
      </w:pPr>
    </w:p>
    <w:p w:rsidR="00B705FD" w:rsidRDefault="00766EE2" w:rsidP="00CA70F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76000" behindDoc="0" locked="0" layoutInCell="1" allowOverlap="1" wp14:anchorId="395E84E3" wp14:editId="7A1CCBB5">
            <wp:simplePos x="0" y="0"/>
            <wp:positionH relativeFrom="column">
              <wp:posOffset>18415</wp:posOffset>
            </wp:positionH>
            <wp:positionV relativeFrom="paragraph">
              <wp:posOffset>283845</wp:posOffset>
            </wp:positionV>
            <wp:extent cx="3077845" cy="1885950"/>
            <wp:effectExtent l="0" t="0" r="825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302" w:rsidRDefault="00965302" w:rsidP="00CA70FD">
      <w:pPr>
        <w:rPr>
          <w:noProof/>
        </w:rPr>
      </w:pPr>
    </w:p>
    <w:p w:rsidR="0078596F" w:rsidRDefault="0078596F" w:rsidP="00CA70FD">
      <w:r>
        <w:rPr>
          <w:noProof/>
        </w:rPr>
        <w:t>69% of projects include people of all gender (F, M, D),</w:t>
      </w:r>
      <w:r w:rsidR="00B705FD">
        <w:rPr>
          <w:noProof/>
        </w:rPr>
        <w:t>in their analysis, and</w:t>
      </w:r>
      <w:r>
        <w:rPr>
          <w:noProof/>
        </w:rPr>
        <w:t xml:space="preserve"> 78% </w:t>
      </w:r>
      <w:r w:rsidR="005248CB">
        <w:t xml:space="preserve">confirm that </w:t>
      </w:r>
      <w:r w:rsidR="00B705FD">
        <w:t>they are</w:t>
      </w:r>
      <w:r w:rsidR="00E504E2">
        <w:t xml:space="preserve"> concerned with people of diverse gender </w:t>
      </w:r>
      <w:r w:rsidR="00AF36FE">
        <w:t xml:space="preserve">sexual </w:t>
      </w:r>
      <w:r w:rsidR="00E504E2">
        <w:t>orientation/</w:t>
      </w:r>
      <w:r w:rsidR="00AF36FE">
        <w:t xml:space="preserve"> gender </w:t>
      </w:r>
      <w:r w:rsidR="00E504E2">
        <w:t>identity</w:t>
      </w:r>
      <w:r w:rsidR="002C37CC">
        <w:t xml:space="preserve"> (LGBTI)</w:t>
      </w:r>
      <w:r w:rsidR="008E1098">
        <w:t>.</w:t>
      </w:r>
      <w:r w:rsidR="00E504E2">
        <w:t xml:space="preserve"> </w:t>
      </w:r>
      <w:r w:rsidR="00C930BD">
        <w:t xml:space="preserve"> </w:t>
      </w:r>
      <w:r w:rsidR="00E504E2">
        <w:t xml:space="preserve">  </w:t>
      </w:r>
    </w:p>
    <w:p w:rsidR="00E504E2" w:rsidRDefault="00E504E2" w:rsidP="00CA70FD">
      <w:r>
        <w:tab/>
        <w:t xml:space="preserve"> </w:t>
      </w:r>
    </w:p>
    <w:p w:rsidR="004E75CA" w:rsidRDefault="004E75CA" w:rsidP="00E504E2"/>
    <w:p w:rsidR="00A407A8" w:rsidRDefault="00A407A8" w:rsidP="00E504E2">
      <w:pPr>
        <w:rPr>
          <w:noProof/>
        </w:rPr>
      </w:pPr>
    </w:p>
    <w:p w:rsidR="00A407A8" w:rsidRDefault="00B705FD" w:rsidP="00E504E2">
      <w:r>
        <w:rPr>
          <w:noProof/>
        </w:rPr>
        <w:drawing>
          <wp:anchor distT="0" distB="0" distL="114300" distR="114300" simplePos="0" relativeHeight="251777024" behindDoc="0" locked="0" layoutInCell="1" allowOverlap="1" wp14:anchorId="1BB7EE66">
            <wp:simplePos x="0" y="0"/>
            <wp:positionH relativeFrom="column">
              <wp:posOffset>76200</wp:posOffset>
            </wp:positionH>
            <wp:positionV relativeFrom="paragraph">
              <wp:posOffset>243840</wp:posOffset>
            </wp:positionV>
            <wp:extent cx="3061970" cy="2000250"/>
            <wp:effectExtent l="0" t="0" r="508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5FD" w:rsidRDefault="00766EE2" w:rsidP="004B2F55">
      <w:r>
        <w:rPr>
          <w:noProof/>
        </w:rPr>
        <w:t xml:space="preserve">Approximately </w:t>
      </w:r>
      <w:r w:rsidR="00B705FD">
        <w:rPr>
          <w:noProof/>
        </w:rPr>
        <w:t>60%</w:t>
      </w:r>
      <w:r w:rsidR="004B2F55">
        <w:rPr>
          <w:noProof/>
        </w:rPr>
        <w:t xml:space="preserve"> of projects are</w:t>
      </w:r>
      <w:r w:rsidR="00B705FD">
        <w:rPr>
          <w:noProof/>
        </w:rPr>
        <w:t xml:space="preserve"> focused on one or more </w:t>
      </w:r>
      <w:r w:rsidR="004B2F55">
        <w:rPr>
          <w:noProof/>
        </w:rPr>
        <w:t xml:space="preserve">age </w:t>
      </w:r>
      <w:r>
        <w:rPr>
          <w:noProof/>
        </w:rPr>
        <w:t xml:space="preserve">groups </w:t>
      </w:r>
      <w:r w:rsidR="004B2F55">
        <w:rPr>
          <w:noProof/>
        </w:rPr>
        <w:t xml:space="preserve">from children to </w:t>
      </w:r>
      <w:r w:rsidR="00B705FD">
        <w:rPr>
          <w:noProof/>
        </w:rPr>
        <w:t xml:space="preserve">adults.  Young children are </w:t>
      </w:r>
      <w:r w:rsidR="004B2F55">
        <w:rPr>
          <w:noProof/>
        </w:rPr>
        <w:t xml:space="preserve">a focus for analysis in only 30% projects, and older adults </w:t>
      </w:r>
      <w:r w:rsidR="00CD5015">
        <w:t xml:space="preserve">in only </w:t>
      </w:r>
      <w:r w:rsidR="00CA70FD">
        <w:t>4</w:t>
      </w:r>
      <w:r w:rsidR="00B705FD">
        <w:t>4</w:t>
      </w:r>
      <w:r w:rsidR="00CD5015">
        <w:t>% of projects</w:t>
      </w:r>
      <w:r w:rsidR="004B2F55">
        <w:t>.  While the former might be expected</w:t>
      </w:r>
      <w:r>
        <w:t>, the low participation of older people may</w:t>
      </w:r>
      <w:r w:rsidR="004B2F55">
        <w:t xml:space="preserve"> be an ar</w:t>
      </w:r>
      <w:r w:rsidR="00B705FD">
        <w:t xml:space="preserve">ea </w:t>
      </w:r>
      <w:r w:rsidR="00956226">
        <w:t>for</w:t>
      </w:r>
      <w:r w:rsidR="00B705FD">
        <w:t xml:space="preserve"> further enquiry.</w:t>
      </w:r>
    </w:p>
    <w:p w:rsidR="00B705FD" w:rsidRDefault="00B705FD" w:rsidP="00B705FD"/>
    <w:p w:rsidR="00B705FD" w:rsidRDefault="00B705FD" w:rsidP="00B705FD"/>
    <w:p w:rsidR="00B705FD" w:rsidRDefault="00B705FD" w:rsidP="00B705FD"/>
    <w:p w:rsidR="00CF2B15" w:rsidRDefault="00CF2B15" w:rsidP="00FF261F"/>
    <w:p w:rsidR="00581692" w:rsidRDefault="00581692" w:rsidP="00FF261F">
      <w:r>
        <w:rPr>
          <w:noProof/>
        </w:rPr>
        <w:lastRenderedPageBreak/>
        <w:drawing>
          <wp:anchor distT="0" distB="0" distL="114300" distR="114300" simplePos="0" relativeHeight="251778048" behindDoc="0" locked="0" layoutInCell="1" allowOverlap="1" wp14:anchorId="27028B51">
            <wp:simplePos x="0" y="0"/>
            <wp:positionH relativeFrom="column">
              <wp:posOffset>3267075</wp:posOffset>
            </wp:positionH>
            <wp:positionV relativeFrom="paragraph">
              <wp:posOffset>147955</wp:posOffset>
            </wp:positionV>
            <wp:extent cx="2883535" cy="208597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F55">
        <w:t xml:space="preserve">Projects concerned with people of diverse </w:t>
      </w:r>
      <w:r w:rsidR="00A5682D">
        <w:t>SOGI</w:t>
      </w:r>
      <w:r w:rsidR="00FF261F">
        <w:t xml:space="preserve"> </w:t>
      </w:r>
      <w:r w:rsidR="00E504E2">
        <w:t xml:space="preserve">projects </w:t>
      </w:r>
      <w:r w:rsidR="0051408E">
        <w:t xml:space="preserve">are </w:t>
      </w:r>
      <w:r w:rsidR="004B2F55">
        <w:t xml:space="preserve">also atypical of standard humanitarian projects in how they tailor activities. </w:t>
      </w:r>
    </w:p>
    <w:p w:rsidR="00581692" w:rsidRDefault="00BE7436" w:rsidP="00FF261F">
      <w:r>
        <w:t>Like</w:t>
      </w:r>
      <w:r w:rsidR="00581692">
        <w:t xml:space="preserve"> the analys</w:t>
      </w:r>
      <w:r>
        <w:t>e</w:t>
      </w:r>
      <w:r w:rsidR="00581692">
        <w:t xml:space="preserve">s, nearly 70% of these projects tailor activities based on different needs, roles and social dynamics, and only 16% according to needs alone.  </w:t>
      </w:r>
      <w:r>
        <w:t>In other samples, t</w:t>
      </w:r>
      <w:r w:rsidR="00581692">
        <w:t xml:space="preserve">his proportion is usually closer to 50-50. </w:t>
      </w:r>
      <w:r w:rsidR="004B2F55">
        <w:t xml:space="preserve">  </w:t>
      </w:r>
    </w:p>
    <w:p w:rsidR="00E504E2" w:rsidRDefault="00581692" w:rsidP="00FF261F">
      <w:r>
        <w:t>Seven out of 45</w:t>
      </w:r>
      <w:r w:rsidR="0051408E">
        <w:t xml:space="preserve"> project</w:t>
      </w:r>
      <w:r w:rsidR="00A33936">
        <w:t>s (16%)</w:t>
      </w:r>
      <w:r w:rsidR="0051408E">
        <w:t xml:space="preserve"> constitute </w:t>
      </w:r>
      <w:r w:rsidR="00E504E2">
        <w:t>“targeted action</w:t>
      </w:r>
      <w:r>
        <w:t>s</w:t>
      </w:r>
      <w:r w:rsidR="00E504E2">
        <w:t xml:space="preserve">” (Code T) </w:t>
      </w:r>
      <w:r w:rsidR="0051408E">
        <w:t>with activities designed to</w:t>
      </w:r>
      <w:r w:rsidR="00E504E2">
        <w:t xml:space="preserve"> reduce gender barriers or discrimination</w:t>
      </w:r>
      <w:r>
        <w:t xml:space="preserve">.  This </w:t>
      </w:r>
      <w:r w:rsidR="000F5C7A">
        <w:t xml:space="preserve">is a notable difference from </w:t>
      </w:r>
      <w:r w:rsidR="004D57C7">
        <w:t xml:space="preserve">most humanitarian </w:t>
      </w:r>
      <w:r w:rsidR="00BE7436">
        <w:t>setting</w:t>
      </w:r>
      <w:r w:rsidR="004D57C7">
        <w:t>s</w:t>
      </w:r>
      <w:r w:rsidR="000F5C7A">
        <w:t xml:space="preserve"> where targeted actions </w:t>
      </w:r>
      <w:r>
        <w:t>typically constitute</w:t>
      </w:r>
      <w:r w:rsidR="00A33936">
        <w:t xml:space="preserve"> less than </w:t>
      </w:r>
      <w:r>
        <w:t xml:space="preserve">5% of humanitarian response projects.  </w:t>
      </w:r>
    </w:p>
    <w:p w:rsidR="00BE7436" w:rsidRDefault="00BE7436" w:rsidP="00BE7436">
      <w:r>
        <w:rPr>
          <w:noProof/>
        </w:rPr>
        <w:drawing>
          <wp:anchor distT="0" distB="0" distL="114300" distR="114300" simplePos="0" relativeHeight="251780096" behindDoc="0" locked="0" layoutInCell="1" allowOverlap="1" wp14:anchorId="502AA25D" wp14:editId="0EA3A4C0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962275" cy="2095500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6A1" w:rsidRDefault="00E504E2" w:rsidP="00BE7436">
      <w:r>
        <w:t xml:space="preserve">How affected people </w:t>
      </w:r>
      <w:r w:rsidR="00A33936">
        <w:t xml:space="preserve">are expected to </w:t>
      </w:r>
      <w:r>
        <w:t xml:space="preserve">participate differs </w:t>
      </w:r>
      <w:r w:rsidR="001C3D28">
        <w:t>a</w:t>
      </w:r>
      <w:r>
        <w:t>mong projects</w:t>
      </w:r>
      <w:r w:rsidR="004917E3">
        <w:t xml:space="preserve">. </w:t>
      </w:r>
      <w:r w:rsidR="001C3D28">
        <w:t xml:space="preserve"> </w:t>
      </w:r>
      <w:r w:rsidR="00A33936">
        <w:t xml:space="preserve">Almost half of all </w:t>
      </w:r>
      <w:r w:rsidR="001C3D28">
        <w:t xml:space="preserve">projects </w:t>
      </w:r>
      <w:r w:rsidR="00A33936">
        <w:t xml:space="preserve">(22) </w:t>
      </w:r>
      <w:r w:rsidR="004917E3">
        <w:t xml:space="preserve">say </w:t>
      </w:r>
      <w:r w:rsidR="001C3D28">
        <w:t>affected people</w:t>
      </w:r>
      <w:r w:rsidR="000F5C7A">
        <w:t xml:space="preserve"> will</w:t>
      </w:r>
      <w:r w:rsidR="001C3D28">
        <w:t xml:space="preserve"> in</w:t>
      </w:r>
      <w:r w:rsidR="004917E3">
        <w:t>fluence</w:t>
      </w:r>
      <w:r w:rsidR="001C3D28">
        <w:t xml:space="preserve"> </w:t>
      </w:r>
      <w:r w:rsidR="001C3D28" w:rsidRPr="004917E3">
        <w:rPr>
          <w:i/>
          <w:iCs/>
        </w:rPr>
        <w:t>all</w:t>
      </w:r>
      <w:r w:rsidR="001C3D28">
        <w:t xml:space="preserve"> stages of project management</w:t>
      </w:r>
      <w:r w:rsidR="004917E3">
        <w:t xml:space="preserve">, and </w:t>
      </w:r>
      <w:r w:rsidR="00A33936">
        <w:t>18</w:t>
      </w:r>
      <w:r w:rsidR="004917E3">
        <w:t xml:space="preserve">% </w:t>
      </w:r>
      <w:r w:rsidR="001C3D28">
        <w:t xml:space="preserve">have affected people involved in </w:t>
      </w:r>
      <w:r w:rsidR="000116CE">
        <w:t>3 out of</w:t>
      </w:r>
      <w:r w:rsidR="00D16FF2">
        <w:t xml:space="preserve"> the</w:t>
      </w:r>
      <w:r w:rsidR="000116CE">
        <w:t xml:space="preserve"> 4</w:t>
      </w:r>
      <w:r w:rsidR="001C3D28">
        <w:t xml:space="preserve"> areas</w:t>
      </w:r>
      <w:r w:rsidR="000116CE">
        <w:t>, excluding</w:t>
      </w:r>
      <w:r w:rsidR="001C3D28">
        <w:t xml:space="preserve"> project review and revision.  </w:t>
      </w:r>
      <w:r w:rsidR="004917E3">
        <w:t xml:space="preserve">The remainder say </w:t>
      </w:r>
      <w:r w:rsidR="001C3D28">
        <w:t>beneficiaries</w:t>
      </w:r>
      <w:r w:rsidR="000F5C7A">
        <w:t xml:space="preserve"> will</w:t>
      </w:r>
      <w:r w:rsidR="001C3D28">
        <w:t xml:space="preserve"> </w:t>
      </w:r>
      <w:r w:rsidR="004917E3">
        <w:t>influence one or two of these</w:t>
      </w:r>
      <w:r w:rsidR="001C3D28">
        <w:t xml:space="preserve"> areas. </w:t>
      </w:r>
      <w:r w:rsidR="006837FD">
        <w:t xml:space="preserve">There </w:t>
      </w:r>
      <w:r w:rsidR="004917E3">
        <w:t xml:space="preserve">are only </w:t>
      </w:r>
      <w:r w:rsidR="00C01F99">
        <w:t>4</w:t>
      </w:r>
      <w:r w:rsidR="004917E3">
        <w:t xml:space="preserve"> projects</w:t>
      </w:r>
      <w:r w:rsidR="00D06B91">
        <w:t xml:space="preserve"> whe</w:t>
      </w:r>
      <w:r w:rsidR="008D1147">
        <w:t>re</w:t>
      </w:r>
      <w:r w:rsidR="00D866A1">
        <w:t xml:space="preserve"> affected people </w:t>
      </w:r>
      <w:r w:rsidR="006837FD">
        <w:t>will not be</w:t>
      </w:r>
      <w:r w:rsidR="00D866A1">
        <w:t xml:space="preserve"> involved in any of these activities.</w:t>
      </w:r>
      <w:r w:rsidR="001C3D28">
        <w:t xml:space="preserve">  It is interesting that the area where beneficiaries are expected to participate least is in reviewing and changing projects.</w:t>
      </w:r>
    </w:p>
    <w:p w:rsidR="005714BD" w:rsidRDefault="000F5C7A" w:rsidP="00B51B4C">
      <w:r>
        <w:t xml:space="preserve">71% of projects intend </w:t>
      </w:r>
      <w:r w:rsidR="004D57C7">
        <w:t>that</w:t>
      </w:r>
      <w:r>
        <w:t xml:space="preserve"> all gender groups - female, males, and LGBTI/divers</w:t>
      </w:r>
      <w:r w:rsidR="00A115F2">
        <w:t>e</w:t>
      </w:r>
      <w:r>
        <w:t xml:space="preserve"> SOGI </w:t>
      </w:r>
      <w:r w:rsidR="004D57C7">
        <w:t>–</w:t>
      </w:r>
      <w:r>
        <w:t xml:space="preserve"> </w:t>
      </w:r>
      <w:r w:rsidR="004D57C7">
        <w:t xml:space="preserve">will </w:t>
      </w:r>
      <w:r w:rsidR="002A7FA5">
        <w:t xml:space="preserve">participate in </w:t>
      </w:r>
      <w:r w:rsidR="004D57C7">
        <w:t xml:space="preserve">and influence </w:t>
      </w:r>
      <w:r>
        <w:t xml:space="preserve">the project.   84% of all projects </w:t>
      </w:r>
      <w:r w:rsidR="00A115F2">
        <w:t>are planning for</w:t>
      </w:r>
      <w:r w:rsidR="002A7FA5">
        <w:t xml:space="preserve"> people of diverse gender/sexual orientation (LGBTI) </w:t>
      </w:r>
      <w:r w:rsidR="00A115F2">
        <w:t>to</w:t>
      </w:r>
      <w:r w:rsidR="002A7FA5">
        <w:t xml:space="preserve"> in</w:t>
      </w:r>
      <w:r w:rsidR="002A7FA5">
        <w:t xml:space="preserve">fluence project management.  </w:t>
      </w:r>
      <w:r w:rsidR="00A115F2">
        <w:t>Three</w:t>
      </w:r>
      <w:r w:rsidR="00977DA1">
        <w:t xml:space="preserve"> projects indicate that </w:t>
      </w:r>
      <w:r w:rsidR="00977DA1">
        <w:rPr>
          <w:i/>
          <w:iCs/>
        </w:rPr>
        <w:t xml:space="preserve">only </w:t>
      </w:r>
      <w:r w:rsidR="00977DA1">
        <w:t>LGBTI people will be involved</w:t>
      </w:r>
      <w:r w:rsidR="00013919">
        <w:t xml:space="preserve"> (</w:t>
      </w:r>
      <w:r w:rsidR="00A115F2">
        <w:t>UNHCR</w:t>
      </w:r>
      <w:r w:rsidR="00013919">
        <w:t xml:space="preserve"> - </w:t>
      </w:r>
      <w:r w:rsidR="00A115F2">
        <w:t xml:space="preserve">2, </w:t>
      </w:r>
      <w:r w:rsidR="00013919">
        <w:t xml:space="preserve">and </w:t>
      </w:r>
      <w:r w:rsidR="00A115F2">
        <w:t>UNAIDS</w:t>
      </w:r>
      <w:r w:rsidR="00013919">
        <w:t xml:space="preserve"> </w:t>
      </w:r>
      <w:r w:rsidR="00BE7436">
        <w:t xml:space="preserve">– </w:t>
      </w:r>
      <w:r w:rsidR="00A115F2">
        <w:t>1</w:t>
      </w:r>
      <w:r w:rsidR="00BE7436">
        <w:t>.</w:t>
      </w:r>
      <w:r w:rsidR="00977DA1">
        <w:t>)</w:t>
      </w:r>
    </w:p>
    <w:p w:rsidR="001F7724" w:rsidRDefault="00BE7436" w:rsidP="00BE7436">
      <w:r>
        <w:rPr>
          <w:noProof/>
        </w:rPr>
        <w:drawing>
          <wp:anchor distT="0" distB="0" distL="114300" distR="114300" simplePos="0" relativeHeight="251782144" behindDoc="0" locked="0" layoutInCell="1" allowOverlap="1" wp14:anchorId="4239749E">
            <wp:simplePos x="0" y="0"/>
            <wp:positionH relativeFrom="column">
              <wp:posOffset>3105150</wp:posOffset>
            </wp:positionH>
            <wp:positionV relativeFrom="paragraph">
              <wp:posOffset>560070</wp:posOffset>
            </wp:positionV>
            <wp:extent cx="2542540" cy="165989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65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1" wp14:anchorId="62C61B60">
            <wp:simplePos x="0" y="0"/>
            <wp:positionH relativeFrom="column">
              <wp:posOffset>190500</wp:posOffset>
            </wp:positionH>
            <wp:positionV relativeFrom="paragraph">
              <wp:posOffset>632460</wp:posOffset>
            </wp:positionV>
            <wp:extent cx="2419985" cy="15811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Participation by age groups reflects an overall trend seen in larger sample sizes: while children will be logically the least involved, only about 60% of project plan to involve adolescents and/or older adults. This may be a topic for further discussion.</w:t>
      </w:r>
    </w:p>
    <w:p w:rsidR="007F4B62" w:rsidRDefault="007F4B62" w:rsidP="001F22FE"/>
    <w:p w:rsidR="00621E5A" w:rsidRDefault="00621E5A" w:rsidP="00507773"/>
    <w:p w:rsidR="001F674A" w:rsidRDefault="001F674A" w:rsidP="001F674A"/>
    <w:p w:rsidR="005F7A8B" w:rsidRDefault="005F7A8B" w:rsidP="00E504E2">
      <w:pPr>
        <w:rPr>
          <w:noProof/>
        </w:rPr>
      </w:pPr>
    </w:p>
    <w:p w:rsidR="00507773" w:rsidRDefault="00507773" w:rsidP="0090490F">
      <w:pPr>
        <w:rPr>
          <w:u w:val="single"/>
        </w:rPr>
      </w:pPr>
    </w:p>
    <w:p w:rsidR="00C273FA" w:rsidRPr="00007A76" w:rsidRDefault="00507773" w:rsidP="0090490F">
      <w:r>
        <w:rPr>
          <w:noProof/>
        </w:rPr>
        <w:lastRenderedPageBreak/>
        <w:drawing>
          <wp:anchor distT="0" distB="0" distL="114300" distR="114300" simplePos="0" relativeHeight="251783168" behindDoc="0" locked="0" layoutInCell="1" allowOverlap="1" wp14:anchorId="08C28F5E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784475" cy="1819275"/>
            <wp:effectExtent l="0" t="0" r="0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3FA" w:rsidRPr="00C273FA">
        <w:rPr>
          <w:u w:val="single"/>
        </w:rPr>
        <w:t xml:space="preserve">Reporting relative benefits </w:t>
      </w:r>
    </w:p>
    <w:p w:rsidR="00AE78D9" w:rsidRDefault="00AE78D9" w:rsidP="00497FFD"/>
    <w:p w:rsidR="002C6CA5" w:rsidRDefault="0090490F" w:rsidP="00497FFD">
      <w:r>
        <w:t xml:space="preserve">Of the </w:t>
      </w:r>
      <w:r w:rsidR="00507773">
        <w:t>45 S0GI-sensitive</w:t>
      </w:r>
      <w:r>
        <w:t xml:space="preserve"> projects using the GAM for project design, </w:t>
      </w:r>
      <w:r w:rsidR="00507773">
        <w:t>more than half</w:t>
      </w:r>
      <w:r w:rsidR="00497FFD">
        <w:t xml:space="preserve"> </w:t>
      </w:r>
      <w:r w:rsidR="004F4A16">
        <w:t>say they will be able to provide disaggregated information on both the activities delivered, and the needs met</w:t>
      </w:r>
      <w:r w:rsidR="00497FFD">
        <w:t xml:space="preserve">.  </w:t>
      </w:r>
      <w:r w:rsidR="00507773">
        <w:t>84</w:t>
      </w:r>
      <w:r w:rsidR="0039779F">
        <w:t>%</w:t>
      </w:r>
      <w:r w:rsidR="00497FFD">
        <w:t xml:space="preserve"> of </w:t>
      </w:r>
      <w:r w:rsidR="0039779F">
        <w:t>projects</w:t>
      </w:r>
      <w:r w:rsidR="00497FFD">
        <w:t xml:space="preserve"> will provide results disaggregated by </w:t>
      </w:r>
      <w:r w:rsidR="0039779F">
        <w:t>sex</w:t>
      </w:r>
      <w:r w:rsidR="00497FFD">
        <w:t>,</w:t>
      </w:r>
      <w:r w:rsidR="00507773">
        <w:t xml:space="preserve"> including 52% planning to </w:t>
      </w:r>
      <w:r w:rsidR="00497FFD">
        <w:t>disaggregate results for one or more age groups.</w:t>
      </w:r>
    </w:p>
    <w:p w:rsidR="00AE78D9" w:rsidRDefault="00AE78D9" w:rsidP="00497FFD"/>
    <w:p w:rsidR="00AE78D9" w:rsidRDefault="001F22FE" w:rsidP="00AE78D9">
      <w:pPr>
        <w:rPr>
          <w:sz w:val="16"/>
          <w:szCs w:val="16"/>
          <w:u w:val="single"/>
        </w:rPr>
      </w:pPr>
      <w:bookmarkStart w:id="0" w:name="_Hlk531246573"/>
      <w:r>
        <w:rPr>
          <w:noProof/>
          <w:sz w:val="16"/>
          <w:szCs w:val="16"/>
          <w:u w:val="single"/>
        </w:rPr>
        <w:drawing>
          <wp:anchor distT="0" distB="0" distL="114300" distR="114300" simplePos="0" relativeHeight="251784192" behindDoc="0" locked="0" layoutInCell="1" allowOverlap="1" wp14:anchorId="35050BF0">
            <wp:simplePos x="0" y="0"/>
            <wp:positionH relativeFrom="column">
              <wp:posOffset>2933065</wp:posOffset>
            </wp:positionH>
            <wp:positionV relativeFrom="paragraph">
              <wp:posOffset>15875</wp:posOffset>
            </wp:positionV>
            <wp:extent cx="2581275" cy="1685290"/>
            <wp:effectExtent l="0" t="0" r="952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582">
        <w:rPr>
          <w:noProof/>
          <w:sz w:val="16"/>
          <w:szCs w:val="16"/>
          <w:u w:val="single"/>
        </w:rPr>
        <w:drawing>
          <wp:inline distT="0" distB="0" distL="0" distR="0" wp14:anchorId="4512AEDC">
            <wp:extent cx="2324100" cy="169606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31" cy="1724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B26" w:rsidRDefault="00287B26" w:rsidP="003D024D">
      <w:pPr>
        <w:spacing w:line="240" w:lineRule="auto"/>
        <w:rPr>
          <w:u w:val="single"/>
        </w:rPr>
      </w:pPr>
    </w:p>
    <w:p w:rsidR="00F93D42" w:rsidRPr="00E77845" w:rsidRDefault="00E77845" w:rsidP="003D024D">
      <w:pPr>
        <w:spacing w:line="240" w:lineRule="auto"/>
        <w:rPr>
          <w:u w:val="single"/>
        </w:rPr>
      </w:pPr>
      <w:r>
        <w:rPr>
          <w:u w:val="single"/>
        </w:rPr>
        <w:t>Conclusion</w:t>
      </w:r>
    </w:p>
    <w:p w:rsidR="00176CFE" w:rsidRDefault="00176CFE" w:rsidP="003D024D">
      <w:pPr>
        <w:spacing w:line="240" w:lineRule="auto"/>
      </w:pPr>
      <w:r>
        <w:t xml:space="preserve">The IASC Gender with Age Marker currently only looks at gender and age differences, </w:t>
      </w:r>
      <w:r w:rsidR="00BE0144">
        <w:t>but the next version of the questionnaire (</w:t>
      </w:r>
      <w:r w:rsidR="00CF2B15">
        <w:t>also</w:t>
      </w:r>
      <w:r w:rsidR="00BE0144">
        <w:t xml:space="preserve"> shorter!) will integrate </w:t>
      </w:r>
      <w:r w:rsidR="003B2107">
        <w:t xml:space="preserve">questions on the response for </w:t>
      </w:r>
      <w:r w:rsidR="00BE0144">
        <w:t>people with disabilit</w:t>
      </w:r>
      <w:r w:rsidR="003B2107">
        <w:t>ies</w:t>
      </w:r>
      <w:r w:rsidR="00BE0144">
        <w:t>.</w:t>
      </w:r>
    </w:p>
    <w:p w:rsidR="00176CFE" w:rsidRDefault="00287B26" w:rsidP="003B2107">
      <w:pPr>
        <w:spacing w:line="240" w:lineRule="auto"/>
      </w:pPr>
      <w:r>
        <w:t>T</w:t>
      </w:r>
      <w:r w:rsidR="00BE0144">
        <w:t xml:space="preserve">his overview </w:t>
      </w:r>
      <w:r>
        <w:t xml:space="preserve">of </w:t>
      </w:r>
      <w:r w:rsidR="00CF2B15">
        <w:t xml:space="preserve">projects </w:t>
      </w:r>
      <w:r w:rsidR="003B2107">
        <w:t xml:space="preserve">addressing needs of </w:t>
      </w:r>
      <w:r w:rsidR="00CF2B15">
        <w:t>people with diverse sexual orientation and/or gender identity</w:t>
      </w:r>
      <w:r>
        <w:t xml:space="preserve"> suggests </w:t>
      </w:r>
      <w:r w:rsidR="00250E9D">
        <w:t>higher than average</w:t>
      </w:r>
      <w:r>
        <w:t xml:space="preserve"> awareness of </w:t>
      </w:r>
      <w:r w:rsidR="003B2107">
        <w:t xml:space="preserve">the implications and relevance of gender differences for humanitarian response.   Opportunities for peer learning within clusters and countries should be </w:t>
      </w:r>
      <w:r w:rsidR="000A4BB3">
        <w:t>consider</w:t>
      </w:r>
      <w:r w:rsidR="003B2107">
        <w:t xml:space="preserve">ed, particularly how </w:t>
      </w:r>
      <w:r w:rsidR="000A4BB3">
        <w:t>the</w:t>
      </w:r>
      <w:r w:rsidR="003B2107">
        <w:t xml:space="preserve"> gender analysis forms the logical basis for subsequent actions, including how activities are tailored for different groups, how different people will participate, and how </w:t>
      </w:r>
      <w:r w:rsidR="00250E9D">
        <w:t xml:space="preserve">different </w:t>
      </w:r>
      <w:r w:rsidR="003B2107">
        <w:t xml:space="preserve">benefits will be measured.  </w:t>
      </w:r>
      <w:r w:rsidR="000A4BB3">
        <w:t xml:space="preserve"> There are clearly some agencies that stand out as attempting to deliver programs genuinely responsive to people of diverse </w:t>
      </w:r>
      <w:proofErr w:type="gramStart"/>
      <w:r w:rsidR="000A4BB3">
        <w:t>genders..</w:t>
      </w:r>
      <w:proofErr w:type="gramEnd"/>
    </w:p>
    <w:bookmarkEnd w:id="0"/>
    <w:p w:rsidR="00BC7B1B" w:rsidRDefault="003B2107" w:rsidP="00BC7B1B">
      <w:pPr>
        <w:rPr>
          <w:rFonts w:ascii="Calibri" w:hAnsi="Calibri" w:cs="Calibri"/>
        </w:rPr>
      </w:pPr>
      <w:r>
        <w:t>Use of the GAM for monitoring these projects will provide valuable information on how a variety of accountability and protection actions are meeting the needs of people of diverse genders.  Monitoring should be encouraged once project have been under implementation for 3-4 months.</w:t>
      </w:r>
    </w:p>
    <w:p w:rsidR="00075226" w:rsidRDefault="00075226" w:rsidP="003D024D"/>
    <w:p w:rsidR="000A4BB3" w:rsidRDefault="000A4BB3" w:rsidP="003D024D">
      <w:r>
        <w:t>16 March 2020</w:t>
      </w:r>
      <w:bookmarkStart w:id="1" w:name="_GoBack"/>
      <w:bookmarkEnd w:id="1"/>
    </w:p>
    <w:sectPr w:rsidR="000A4BB3" w:rsidSect="00F067C8">
      <w:footerReference w:type="default" r:id="rId21"/>
      <w:type w:val="continuous"/>
      <w:pgSz w:w="12240" w:h="15840"/>
      <w:pgMar w:top="1440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9F1" w:rsidRDefault="008159F1" w:rsidP="00CA4B40">
      <w:pPr>
        <w:spacing w:after="0" w:line="240" w:lineRule="auto"/>
      </w:pPr>
      <w:r>
        <w:separator/>
      </w:r>
    </w:p>
  </w:endnote>
  <w:endnote w:type="continuationSeparator" w:id="0">
    <w:p w:rsidR="008159F1" w:rsidRDefault="008159F1" w:rsidP="00C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173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0FD" w:rsidRDefault="00CD10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B40" w:rsidRDefault="00CA4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9F1" w:rsidRDefault="008159F1" w:rsidP="00CA4B40">
      <w:pPr>
        <w:spacing w:after="0" w:line="240" w:lineRule="auto"/>
      </w:pPr>
      <w:r>
        <w:separator/>
      </w:r>
    </w:p>
  </w:footnote>
  <w:footnote w:type="continuationSeparator" w:id="0">
    <w:p w:rsidR="008159F1" w:rsidRDefault="008159F1" w:rsidP="00CA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0569E"/>
    <w:multiLevelType w:val="hybridMultilevel"/>
    <w:tmpl w:val="49DE519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513C4"/>
    <w:multiLevelType w:val="hybridMultilevel"/>
    <w:tmpl w:val="79343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53"/>
    <w:rsid w:val="00000E8F"/>
    <w:rsid w:val="00005268"/>
    <w:rsid w:val="00005C8B"/>
    <w:rsid w:val="00007A76"/>
    <w:rsid w:val="000113AB"/>
    <w:rsid w:val="000116CE"/>
    <w:rsid w:val="00013919"/>
    <w:rsid w:val="00017363"/>
    <w:rsid w:val="000429B7"/>
    <w:rsid w:val="0006505B"/>
    <w:rsid w:val="000651FB"/>
    <w:rsid w:val="00066C92"/>
    <w:rsid w:val="00072990"/>
    <w:rsid w:val="00075226"/>
    <w:rsid w:val="00086BC6"/>
    <w:rsid w:val="000A4452"/>
    <w:rsid w:val="000A4BB3"/>
    <w:rsid w:val="000A5D31"/>
    <w:rsid w:val="000B4340"/>
    <w:rsid w:val="000B6ABE"/>
    <w:rsid w:val="000C2F51"/>
    <w:rsid w:val="000C37C9"/>
    <w:rsid w:val="000C3826"/>
    <w:rsid w:val="000C5744"/>
    <w:rsid w:val="000D7966"/>
    <w:rsid w:val="000E1427"/>
    <w:rsid w:val="000E4111"/>
    <w:rsid w:val="000E4316"/>
    <w:rsid w:val="000E55FF"/>
    <w:rsid w:val="000F23CD"/>
    <w:rsid w:val="000F370D"/>
    <w:rsid w:val="000F5C7A"/>
    <w:rsid w:val="00103CD6"/>
    <w:rsid w:val="001264B9"/>
    <w:rsid w:val="00137C58"/>
    <w:rsid w:val="001424A1"/>
    <w:rsid w:val="00146880"/>
    <w:rsid w:val="00150905"/>
    <w:rsid w:val="00170AFD"/>
    <w:rsid w:val="00176CFE"/>
    <w:rsid w:val="00181456"/>
    <w:rsid w:val="00190304"/>
    <w:rsid w:val="001A35CA"/>
    <w:rsid w:val="001B43AB"/>
    <w:rsid w:val="001C3D28"/>
    <w:rsid w:val="001E6121"/>
    <w:rsid w:val="001F22FE"/>
    <w:rsid w:val="001F515B"/>
    <w:rsid w:val="001F674A"/>
    <w:rsid w:val="001F7724"/>
    <w:rsid w:val="002114C3"/>
    <w:rsid w:val="002135DD"/>
    <w:rsid w:val="00215CDB"/>
    <w:rsid w:val="00225461"/>
    <w:rsid w:val="002303AC"/>
    <w:rsid w:val="00233002"/>
    <w:rsid w:val="00236A06"/>
    <w:rsid w:val="00240135"/>
    <w:rsid w:val="00246F23"/>
    <w:rsid w:val="002472AA"/>
    <w:rsid w:val="00250E9D"/>
    <w:rsid w:val="00251D48"/>
    <w:rsid w:val="00252274"/>
    <w:rsid w:val="002531A9"/>
    <w:rsid w:val="002534B4"/>
    <w:rsid w:val="00253C14"/>
    <w:rsid w:val="00256979"/>
    <w:rsid w:val="002613E6"/>
    <w:rsid w:val="00264934"/>
    <w:rsid w:val="00274107"/>
    <w:rsid w:val="00287B26"/>
    <w:rsid w:val="002A0DED"/>
    <w:rsid w:val="002A3387"/>
    <w:rsid w:val="002A6327"/>
    <w:rsid w:val="002A7730"/>
    <w:rsid w:val="002A7FA5"/>
    <w:rsid w:val="002B0333"/>
    <w:rsid w:val="002C37CC"/>
    <w:rsid w:val="002C5E53"/>
    <w:rsid w:val="002C6CA5"/>
    <w:rsid w:val="002D2B08"/>
    <w:rsid w:val="002D4371"/>
    <w:rsid w:val="002E4854"/>
    <w:rsid w:val="002E6E91"/>
    <w:rsid w:val="002F120B"/>
    <w:rsid w:val="00300582"/>
    <w:rsid w:val="00303AC1"/>
    <w:rsid w:val="003221EA"/>
    <w:rsid w:val="00340632"/>
    <w:rsid w:val="00354FF1"/>
    <w:rsid w:val="00364C37"/>
    <w:rsid w:val="003676D3"/>
    <w:rsid w:val="003679E1"/>
    <w:rsid w:val="00370EBA"/>
    <w:rsid w:val="00383DC9"/>
    <w:rsid w:val="00386EB6"/>
    <w:rsid w:val="0039779F"/>
    <w:rsid w:val="003A34E3"/>
    <w:rsid w:val="003A4F3A"/>
    <w:rsid w:val="003B2107"/>
    <w:rsid w:val="003B5051"/>
    <w:rsid w:val="003B69FE"/>
    <w:rsid w:val="003C19F2"/>
    <w:rsid w:val="003D024D"/>
    <w:rsid w:val="003D3455"/>
    <w:rsid w:val="003E3EF7"/>
    <w:rsid w:val="003F1711"/>
    <w:rsid w:val="003F6B87"/>
    <w:rsid w:val="00434228"/>
    <w:rsid w:val="00436E00"/>
    <w:rsid w:val="004665D0"/>
    <w:rsid w:val="004708F5"/>
    <w:rsid w:val="00472AB1"/>
    <w:rsid w:val="00474ADB"/>
    <w:rsid w:val="004851CD"/>
    <w:rsid w:val="004917E3"/>
    <w:rsid w:val="0049542D"/>
    <w:rsid w:val="00497FFD"/>
    <w:rsid w:val="004A33C6"/>
    <w:rsid w:val="004A7DD5"/>
    <w:rsid w:val="004B0BB2"/>
    <w:rsid w:val="004B2F55"/>
    <w:rsid w:val="004C5CA3"/>
    <w:rsid w:val="004D454F"/>
    <w:rsid w:val="004D57C7"/>
    <w:rsid w:val="004E17F7"/>
    <w:rsid w:val="004E75CA"/>
    <w:rsid w:val="004F2B41"/>
    <w:rsid w:val="004F4A16"/>
    <w:rsid w:val="004F71CE"/>
    <w:rsid w:val="00507773"/>
    <w:rsid w:val="0051408E"/>
    <w:rsid w:val="005248CB"/>
    <w:rsid w:val="0053077D"/>
    <w:rsid w:val="005327C5"/>
    <w:rsid w:val="00540FDD"/>
    <w:rsid w:val="00541D06"/>
    <w:rsid w:val="005422D5"/>
    <w:rsid w:val="00544E33"/>
    <w:rsid w:val="00557D42"/>
    <w:rsid w:val="00565FBE"/>
    <w:rsid w:val="005701BB"/>
    <w:rsid w:val="005714BD"/>
    <w:rsid w:val="00581692"/>
    <w:rsid w:val="00584196"/>
    <w:rsid w:val="005920EB"/>
    <w:rsid w:val="005A1061"/>
    <w:rsid w:val="005A4DC5"/>
    <w:rsid w:val="005A56F0"/>
    <w:rsid w:val="005B0D64"/>
    <w:rsid w:val="005B750B"/>
    <w:rsid w:val="005C02EB"/>
    <w:rsid w:val="005C344C"/>
    <w:rsid w:val="005E1D3C"/>
    <w:rsid w:val="005E5DE9"/>
    <w:rsid w:val="005F6213"/>
    <w:rsid w:val="005F7A8B"/>
    <w:rsid w:val="00610832"/>
    <w:rsid w:val="00615AB7"/>
    <w:rsid w:val="00621697"/>
    <w:rsid w:val="00621E5A"/>
    <w:rsid w:val="006253B1"/>
    <w:rsid w:val="00632BEE"/>
    <w:rsid w:val="00632D3E"/>
    <w:rsid w:val="00653137"/>
    <w:rsid w:val="00654EA5"/>
    <w:rsid w:val="00661580"/>
    <w:rsid w:val="00662486"/>
    <w:rsid w:val="00664B4C"/>
    <w:rsid w:val="00673B45"/>
    <w:rsid w:val="0068281D"/>
    <w:rsid w:val="006837FD"/>
    <w:rsid w:val="00684BEE"/>
    <w:rsid w:val="00693133"/>
    <w:rsid w:val="00696729"/>
    <w:rsid w:val="006968CA"/>
    <w:rsid w:val="006A5705"/>
    <w:rsid w:val="006A7130"/>
    <w:rsid w:val="006B1ABC"/>
    <w:rsid w:val="006B4F04"/>
    <w:rsid w:val="006B63F8"/>
    <w:rsid w:val="006C0F8B"/>
    <w:rsid w:val="006C46DE"/>
    <w:rsid w:val="006D3D6B"/>
    <w:rsid w:val="006E00E7"/>
    <w:rsid w:val="006E21EF"/>
    <w:rsid w:val="006F000F"/>
    <w:rsid w:val="006F3FA9"/>
    <w:rsid w:val="007063DB"/>
    <w:rsid w:val="0072207A"/>
    <w:rsid w:val="00725C80"/>
    <w:rsid w:val="007409A2"/>
    <w:rsid w:val="0074553A"/>
    <w:rsid w:val="00765106"/>
    <w:rsid w:val="00766EE2"/>
    <w:rsid w:val="00781876"/>
    <w:rsid w:val="007842D7"/>
    <w:rsid w:val="007856C1"/>
    <w:rsid w:val="0078596F"/>
    <w:rsid w:val="007A21B2"/>
    <w:rsid w:val="007C6FD6"/>
    <w:rsid w:val="007D4179"/>
    <w:rsid w:val="007E6228"/>
    <w:rsid w:val="007F4B62"/>
    <w:rsid w:val="00805D28"/>
    <w:rsid w:val="00810D7F"/>
    <w:rsid w:val="008159F1"/>
    <w:rsid w:val="00826221"/>
    <w:rsid w:val="00830F99"/>
    <w:rsid w:val="0085782B"/>
    <w:rsid w:val="0086202C"/>
    <w:rsid w:val="00864B11"/>
    <w:rsid w:val="008833D1"/>
    <w:rsid w:val="00883AC2"/>
    <w:rsid w:val="008A68ED"/>
    <w:rsid w:val="008A6B5A"/>
    <w:rsid w:val="008B1242"/>
    <w:rsid w:val="008B1A0A"/>
    <w:rsid w:val="008C0036"/>
    <w:rsid w:val="008C4576"/>
    <w:rsid w:val="008D1147"/>
    <w:rsid w:val="008E1098"/>
    <w:rsid w:val="008E2113"/>
    <w:rsid w:val="008E50A5"/>
    <w:rsid w:val="008F46FA"/>
    <w:rsid w:val="00900615"/>
    <w:rsid w:val="00902784"/>
    <w:rsid w:val="0090490F"/>
    <w:rsid w:val="00914814"/>
    <w:rsid w:val="00914E01"/>
    <w:rsid w:val="00914FD8"/>
    <w:rsid w:val="00927E4A"/>
    <w:rsid w:val="009329FB"/>
    <w:rsid w:val="00936ABB"/>
    <w:rsid w:val="009462AC"/>
    <w:rsid w:val="00956226"/>
    <w:rsid w:val="00965302"/>
    <w:rsid w:val="00966BF4"/>
    <w:rsid w:val="0097325C"/>
    <w:rsid w:val="00977DA1"/>
    <w:rsid w:val="00981347"/>
    <w:rsid w:val="00982D19"/>
    <w:rsid w:val="00984367"/>
    <w:rsid w:val="00995E92"/>
    <w:rsid w:val="009A07EA"/>
    <w:rsid w:val="009A7B75"/>
    <w:rsid w:val="009B4403"/>
    <w:rsid w:val="009C0FCC"/>
    <w:rsid w:val="009C10C3"/>
    <w:rsid w:val="009C707C"/>
    <w:rsid w:val="009E679D"/>
    <w:rsid w:val="00A04911"/>
    <w:rsid w:val="00A115F2"/>
    <w:rsid w:val="00A11C7B"/>
    <w:rsid w:val="00A238C6"/>
    <w:rsid w:val="00A24FEF"/>
    <w:rsid w:val="00A335DF"/>
    <w:rsid w:val="00A33936"/>
    <w:rsid w:val="00A37325"/>
    <w:rsid w:val="00A407A8"/>
    <w:rsid w:val="00A40C2B"/>
    <w:rsid w:val="00A5682D"/>
    <w:rsid w:val="00A62ACE"/>
    <w:rsid w:val="00A65D21"/>
    <w:rsid w:val="00A664AB"/>
    <w:rsid w:val="00A7003B"/>
    <w:rsid w:val="00A76E94"/>
    <w:rsid w:val="00A86BEB"/>
    <w:rsid w:val="00A93EB6"/>
    <w:rsid w:val="00AA219E"/>
    <w:rsid w:val="00AB6503"/>
    <w:rsid w:val="00AD436E"/>
    <w:rsid w:val="00AD5A21"/>
    <w:rsid w:val="00AD5AC1"/>
    <w:rsid w:val="00AD6122"/>
    <w:rsid w:val="00AE3E50"/>
    <w:rsid w:val="00AE78D9"/>
    <w:rsid w:val="00AF25CE"/>
    <w:rsid w:val="00AF2BB2"/>
    <w:rsid w:val="00AF36FE"/>
    <w:rsid w:val="00B027FD"/>
    <w:rsid w:val="00B05BAA"/>
    <w:rsid w:val="00B12099"/>
    <w:rsid w:val="00B1350A"/>
    <w:rsid w:val="00B212FB"/>
    <w:rsid w:val="00B4030F"/>
    <w:rsid w:val="00B411A4"/>
    <w:rsid w:val="00B51B4C"/>
    <w:rsid w:val="00B51B66"/>
    <w:rsid w:val="00B67068"/>
    <w:rsid w:val="00B705FD"/>
    <w:rsid w:val="00B7497E"/>
    <w:rsid w:val="00B85229"/>
    <w:rsid w:val="00BA0ABB"/>
    <w:rsid w:val="00BB18C1"/>
    <w:rsid w:val="00BB1ED8"/>
    <w:rsid w:val="00BB331D"/>
    <w:rsid w:val="00BC714C"/>
    <w:rsid w:val="00BC7B1B"/>
    <w:rsid w:val="00BD2321"/>
    <w:rsid w:val="00BD6D34"/>
    <w:rsid w:val="00BE0144"/>
    <w:rsid w:val="00BE0EDA"/>
    <w:rsid w:val="00BE7436"/>
    <w:rsid w:val="00BF0EC4"/>
    <w:rsid w:val="00BF1E4C"/>
    <w:rsid w:val="00C01F99"/>
    <w:rsid w:val="00C0300F"/>
    <w:rsid w:val="00C13AD1"/>
    <w:rsid w:val="00C1677C"/>
    <w:rsid w:val="00C2205F"/>
    <w:rsid w:val="00C2518E"/>
    <w:rsid w:val="00C273FA"/>
    <w:rsid w:val="00C36622"/>
    <w:rsid w:val="00C3693A"/>
    <w:rsid w:val="00C36FF9"/>
    <w:rsid w:val="00C42B1D"/>
    <w:rsid w:val="00C53FBE"/>
    <w:rsid w:val="00C75350"/>
    <w:rsid w:val="00C81E47"/>
    <w:rsid w:val="00C83CE5"/>
    <w:rsid w:val="00C91D50"/>
    <w:rsid w:val="00C930BD"/>
    <w:rsid w:val="00C9353C"/>
    <w:rsid w:val="00CA464D"/>
    <w:rsid w:val="00CA4B40"/>
    <w:rsid w:val="00CA70FD"/>
    <w:rsid w:val="00CB5400"/>
    <w:rsid w:val="00CD10FD"/>
    <w:rsid w:val="00CD29B3"/>
    <w:rsid w:val="00CD29F3"/>
    <w:rsid w:val="00CD5015"/>
    <w:rsid w:val="00CF25CE"/>
    <w:rsid w:val="00CF2B15"/>
    <w:rsid w:val="00CF7999"/>
    <w:rsid w:val="00D06B91"/>
    <w:rsid w:val="00D12E81"/>
    <w:rsid w:val="00D16FF2"/>
    <w:rsid w:val="00D17408"/>
    <w:rsid w:val="00D25FD6"/>
    <w:rsid w:val="00D26FEE"/>
    <w:rsid w:val="00D4397E"/>
    <w:rsid w:val="00D524F4"/>
    <w:rsid w:val="00D5481A"/>
    <w:rsid w:val="00D76AEE"/>
    <w:rsid w:val="00D77612"/>
    <w:rsid w:val="00D837D5"/>
    <w:rsid w:val="00D85F6C"/>
    <w:rsid w:val="00D866A1"/>
    <w:rsid w:val="00DE5A94"/>
    <w:rsid w:val="00DF4C89"/>
    <w:rsid w:val="00DF5871"/>
    <w:rsid w:val="00E11695"/>
    <w:rsid w:val="00E2259A"/>
    <w:rsid w:val="00E3360B"/>
    <w:rsid w:val="00E33CD0"/>
    <w:rsid w:val="00E33E14"/>
    <w:rsid w:val="00E3546E"/>
    <w:rsid w:val="00E41A71"/>
    <w:rsid w:val="00E504E2"/>
    <w:rsid w:val="00E51055"/>
    <w:rsid w:val="00E777D4"/>
    <w:rsid w:val="00E77845"/>
    <w:rsid w:val="00E87AC0"/>
    <w:rsid w:val="00E914A3"/>
    <w:rsid w:val="00EA1B9A"/>
    <w:rsid w:val="00EA302B"/>
    <w:rsid w:val="00EA49F4"/>
    <w:rsid w:val="00EA5A26"/>
    <w:rsid w:val="00EA6C65"/>
    <w:rsid w:val="00EB288F"/>
    <w:rsid w:val="00EB4F3A"/>
    <w:rsid w:val="00EB7553"/>
    <w:rsid w:val="00EC172C"/>
    <w:rsid w:val="00EC6593"/>
    <w:rsid w:val="00EE0F64"/>
    <w:rsid w:val="00EF4753"/>
    <w:rsid w:val="00EF7232"/>
    <w:rsid w:val="00F03F87"/>
    <w:rsid w:val="00F067C8"/>
    <w:rsid w:val="00F40A01"/>
    <w:rsid w:val="00F414C9"/>
    <w:rsid w:val="00F46379"/>
    <w:rsid w:val="00F46912"/>
    <w:rsid w:val="00F4750D"/>
    <w:rsid w:val="00F81BDC"/>
    <w:rsid w:val="00F91A45"/>
    <w:rsid w:val="00F93D42"/>
    <w:rsid w:val="00F9656F"/>
    <w:rsid w:val="00FB0622"/>
    <w:rsid w:val="00FB1A1F"/>
    <w:rsid w:val="00FB2B59"/>
    <w:rsid w:val="00FB51F4"/>
    <w:rsid w:val="00FC7F5A"/>
    <w:rsid w:val="00FD28AE"/>
    <w:rsid w:val="00FD3E3A"/>
    <w:rsid w:val="00FD4269"/>
    <w:rsid w:val="00FF261F"/>
    <w:rsid w:val="00FF3E56"/>
    <w:rsid w:val="00FF56FD"/>
    <w:rsid w:val="00FF63EF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FCB20"/>
  <w15:chartTrackingRefBased/>
  <w15:docId w15:val="{241A1019-B07E-4FFF-B126-17482C7B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40"/>
  </w:style>
  <w:style w:type="paragraph" w:styleId="Footer">
    <w:name w:val="footer"/>
    <w:basedOn w:val="Normal"/>
    <w:link w:val="FooterChar"/>
    <w:uiPriority w:val="99"/>
    <w:unhideWhenUsed/>
    <w:rsid w:val="00CA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40"/>
  </w:style>
  <w:style w:type="table" w:styleId="TableGrid">
    <w:name w:val="Table Grid"/>
    <w:basedOn w:val="TableNormal"/>
    <w:uiPriority w:val="39"/>
    <w:rsid w:val="0053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28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4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4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4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6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75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DFF6-D60A-4A5F-8A36-B6F32BCC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Clifton</dc:creator>
  <cp:keywords/>
  <dc:description/>
  <cp:lastModifiedBy>Deborah Clifton</cp:lastModifiedBy>
  <cp:revision>35</cp:revision>
  <dcterms:created xsi:type="dcterms:W3CDTF">2020-03-16T16:52:00Z</dcterms:created>
  <dcterms:modified xsi:type="dcterms:W3CDTF">2020-03-17T03:11:00Z</dcterms:modified>
</cp:coreProperties>
</file>